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8"/>
        </w:rPr>
        <w:t>Tisztelt Ügyfeleink!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Változások </w:t>
      </w:r>
      <w:r>
        <w:rPr>
          <w:b/>
          <w:bCs/>
        </w:rPr>
        <w:t xml:space="preserve">2014  január 1-től </w:t>
      </w:r>
      <w:r>
        <w:rPr/>
        <w:t xml:space="preserve"> a teljesség igénye nélkül, Emlékeztetem Önöket ,hogy </w:t>
      </w:r>
    </w:p>
    <w:p>
      <w:pPr>
        <w:pStyle w:val="style0"/>
      </w:pPr>
      <w:r>
        <w:rPr>
          <w:b/>
        </w:rPr>
        <w:t>SZJA:</w:t>
      </w:r>
      <w:r>
        <w:rPr/>
        <w:t xml:space="preserve">  a bruttóbér  16%-a</w:t>
      </w:r>
    </w:p>
    <w:p>
      <w:pPr>
        <w:pStyle w:val="style0"/>
      </w:pPr>
      <w:r>
        <w:rPr>
          <w:b/>
          <w:bCs/>
        </w:rPr>
        <w:t xml:space="preserve"> </w:t>
      </w:r>
    </w:p>
    <w:p>
      <w:pPr>
        <w:pStyle w:val="style0"/>
        <w:ind w:hanging="0" w:left="283" w:right="0"/>
      </w:pPr>
      <w:r>
        <w:rPr/>
      </w:r>
    </w:p>
    <w:p>
      <w:pPr>
        <w:pStyle w:val="style0"/>
        <w:tabs>
          <w:tab w:leader="none" w:pos="148" w:val="left"/>
        </w:tabs>
        <w:ind w:hanging="0" w:left="-45" w:right="0"/>
      </w:pPr>
      <w:r>
        <w:rPr>
          <w:b/>
          <w:bCs/>
        </w:rPr>
        <w:t xml:space="preserve">Családi kedvezmény: </w:t>
      </w:r>
      <w:r>
        <w:rPr>
          <w:bCs/>
        </w:rPr>
        <w:t>jogosultsági hónap  akire tekintettel családi pótlékot juttatják</w:t>
      </w:r>
      <w:r>
        <w:rPr>
          <w:b/>
          <w:bCs/>
        </w:rPr>
        <w:t xml:space="preserve"> nem változott (</w:t>
      </w:r>
      <w:r>
        <w:rPr/>
        <w:t>egy gyerek után is! ) jövedelem korlát nélkül! 1és 2 eltartott esetén 62500 forint adóalap kedvezmény eltartottanként,  a harmadik eltartott esetén már  206.250 forint adóalap kedvezmény eltartottanként (pl. 3 eltartott 3 x 206.250=618.750 adóalap kedvezmény)</w:t>
      </w:r>
    </w:p>
    <w:p>
      <w:pPr>
        <w:pStyle w:val="style0"/>
        <w:tabs>
          <w:tab w:leader="none" w:pos="238" w:val="left"/>
        </w:tabs>
      </w:pPr>
      <w:r>
        <w:rPr/>
        <w:t xml:space="preserve">Elvált szülők, de a gyermek </w:t>
      </w:r>
      <w:r>
        <w:rPr>
          <w:b/>
          <w:bCs/>
          <w:u w:val="single"/>
        </w:rPr>
        <w:t>közös</w:t>
      </w:r>
      <w:r>
        <w:rPr/>
        <w:t xml:space="preserve"> gondozás alatt</w:t>
      </w:r>
    </w:p>
    <w:p>
      <w:pPr>
        <w:pStyle w:val="style0"/>
        <w:numPr>
          <w:ilvl w:val="1"/>
          <w:numId w:val="9"/>
        </w:numPr>
        <w:tabs>
          <w:tab w:leader="none" w:pos="238" w:val="left"/>
        </w:tabs>
      </w:pPr>
      <w:r>
        <w:rPr/>
        <w:t xml:space="preserve">50-50%-ban jogosultak családi pótlékra, </w:t>
      </w:r>
    </w:p>
    <w:p>
      <w:pPr>
        <w:pStyle w:val="style0"/>
        <w:numPr>
          <w:ilvl w:val="1"/>
          <w:numId w:val="9"/>
        </w:numPr>
        <w:tabs>
          <w:tab w:leader="none" w:pos="238" w:val="left"/>
        </w:tabs>
      </w:pPr>
      <w:r>
        <w:rPr/>
        <w:t>50-50%-ban jogosultak családi kedvezményre</w:t>
      </w:r>
    </w:p>
    <w:p>
      <w:pPr>
        <w:pStyle w:val="style0"/>
        <w:tabs>
          <w:tab w:leader="none" w:pos="148" w:val="left"/>
        </w:tabs>
        <w:ind w:hanging="0" w:left="-45" w:right="0"/>
      </w:pPr>
      <w:r>
        <w:rPr/>
        <w:t xml:space="preserve">Nem élhetnek ezzel a lehetőséggel a felváltva gondozó szülők </w:t>
      </w:r>
      <w:r>
        <w:rPr>
          <w:b/>
          <w:bCs/>
        </w:rPr>
        <w:t>Szja tv. 29/B. § (1e)</w:t>
      </w:r>
    </w:p>
    <w:p>
      <w:pPr>
        <w:pStyle w:val="style0"/>
        <w:tabs>
          <w:tab w:leader="none" w:pos="148" w:val="left"/>
        </w:tabs>
        <w:ind w:hanging="0" w:left="-45" w:right="0"/>
      </w:pPr>
      <w:r>
        <w:rPr>
          <w:b/>
          <w:bCs/>
          <w:shd w:fill="FFFF00" w:val="clear"/>
        </w:rPr>
        <w:t>Járulékkedvezmény: kötelező sorrend szja, pénzbeli, természetbeni egészségbiztosítás, nyugdíjjárulék.</w:t>
      </w:r>
    </w:p>
    <w:p>
      <w:pPr>
        <w:pStyle w:val="style0"/>
        <w:tabs>
          <w:tab w:leader="none" w:pos="148" w:val="left"/>
        </w:tabs>
        <w:ind w:hanging="0" w:left="-45" w:right="0"/>
      </w:pPr>
      <w:r>
        <w:rPr>
          <w:b/>
        </w:rPr>
        <w:t>Kedvezmények</w:t>
      </w:r>
      <w:r>
        <w:rPr/>
        <w:t>:</w:t>
      </w:r>
      <w:r>
        <w:rPr>
          <w:rFonts w:cs="+mn-cs" w:eastAsia="+mn-ea"/>
          <w:color w:val="000000"/>
          <w:sz w:val="48"/>
          <w:szCs w:val="48"/>
        </w:rPr>
        <w:t xml:space="preserve"> </w:t>
      </w:r>
      <w:r>
        <w:rPr/>
        <w:t>Nyugdíjpénztári befizetés, jóváírás 20%-a</w:t>
      </w:r>
    </w:p>
    <w:p>
      <w:pPr>
        <w:pStyle w:val="style0"/>
        <w:tabs>
          <w:tab w:leader="none" w:pos="148" w:val="left"/>
        </w:tabs>
        <w:ind w:hanging="0" w:left="-45" w:right="0"/>
      </w:pPr>
      <w:r>
        <w:rPr/>
        <w:t xml:space="preserve">                           </w:t>
      </w:r>
      <w:r>
        <w:rPr/>
        <w:t>Egészség- és önsegélyező pénztári befizetés, jóváírás 20%-a</w:t>
      </w:r>
    </w:p>
    <w:p>
      <w:pPr>
        <w:pStyle w:val="style0"/>
        <w:tabs>
          <w:tab w:leader="none" w:pos="148" w:val="left"/>
        </w:tabs>
        <w:ind w:hanging="0" w:left="-45" w:right="0"/>
      </w:pPr>
      <w:r>
        <w:rPr/>
        <w:t xml:space="preserve">                           </w:t>
      </w:r>
      <w:r>
        <w:rPr/>
        <w:t>Elkülönített és legalább 24 hónapra lekötött összeg 10%-a</w:t>
      </w:r>
    </w:p>
    <w:p>
      <w:pPr>
        <w:pStyle w:val="style0"/>
        <w:tabs>
          <w:tab w:leader="none" w:pos="148" w:val="left"/>
        </w:tabs>
        <w:ind w:hanging="0" w:left="-45" w:right="0"/>
      </w:pPr>
      <w:r>
        <w:rPr/>
        <w:t>de maximum 100 ezer illetve 130 ezer forint.</w:t>
      </w:r>
    </w:p>
    <w:p>
      <w:pPr>
        <w:pStyle w:val="style0"/>
        <w:numPr>
          <w:ilvl w:val="0"/>
          <w:numId w:val="2"/>
        </w:numPr>
        <w:tabs>
          <w:tab w:leader="none" w:pos="283" w:val="left"/>
        </w:tabs>
      </w:pPr>
      <w:r>
        <w:rPr>
          <w:b/>
          <w:bCs/>
        </w:rPr>
        <w:t xml:space="preserve">Adóköteles  juttatások Szja tv. 69-70 §                    </w:t>
      </w:r>
    </w:p>
    <w:p>
      <w:pPr>
        <w:pStyle w:val="style0"/>
        <w:numPr>
          <w:ilvl w:val="0"/>
          <w:numId w:val="4"/>
        </w:numPr>
        <w:tabs>
          <w:tab w:leader="none" w:pos="283" w:val="left"/>
        </w:tabs>
        <w:jc w:val="both"/>
      </w:pPr>
      <w:r>
        <w:rPr>
          <w:rFonts w:ascii="Arial" w:hAnsi="Arial"/>
          <w:b/>
          <w:color w:val="000000"/>
          <w:sz w:val="22"/>
          <w:szCs w:val="22"/>
        </w:rPr>
        <w:t>Garantált bérminimum:</w:t>
      </w:r>
      <w:r>
        <w:rPr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az egyéni és társas vállalkozónál is)</w:t>
      </w:r>
      <w:r>
        <w:rPr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a legalább középfokú iskolai végzettséget és/vagy szakképzettséget igénylő munkakört ellátók garantált bérminimuma gyakorlati időtől függetlenül </w:t>
      </w:r>
      <w:r>
        <w:rPr>
          <w:rFonts w:ascii="Arial" w:hAnsi="Arial"/>
          <w:b/>
          <w:color w:val="000000"/>
          <w:sz w:val="22"/>
          <w:szCs w:val="22"/>
        </w:rPr>
        <w:t>2014. január 1-jétől havi 118.000 forint, a minimálbér 2014 január 1-től 101.500 forint.</w:t>
      </w:r>
    </w:p>
    <w:p>
      <w:pPr>
        <w:pStyle w:val="style125"/>
        <w:ind w:hanging="0" w:left="283" w:right="0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. Társas vállalkozónak számít 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A betéti társaság, közkereseti társaság, korlátolt felelősségű társaság természetes személy tagja, ha a tevékenységben tagként nem működik közre, és az ügyvezetést nem munkaszerződés alapján látja el. </w:t>
      </w:r>
      <w:r>
        <w:rPr>
          <w:rFonts w:ascii="Times New Roman" w:hAnsi="Times New Roman"/>
          <w:b/>
          <w:sz w:val="24"/>
          <w:szCs w:val="24"/>
        </w:rPr>
        <w:t>Tehát 2012.01.01-től nem működik az a konstrukció, hogy az ügyvezetést megbízás keretében, biztosítási kötelezettség keletkezése nélkül lehessen ellátni.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Segítő családtag  </w:t>
      </w:r>
      <w:r>
        <w:rPr>
          <w:rFonts w:ascii="Times New Roman" w:hAnsi="Times New Roman"/>
          <w:b/>
          <w:sz w:val="24"/>
          <w:szCs w:val="24"/>
        </w:rPr>
        <w:t>Ez a jogviszony 2012.01.01-től megszűnt.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Társas vállalkozó, egyéni vállalkozó</w:t>
      </w:r>
      <w:r>
        <w:rPr>
          <w:rFonts w:ascii="Times New Roman" w:hAnsi="Times New Roman"/>
          <w:sz w:val="24"/>
          <w:szCs w:val="24"/>
          <w:u w:val="single"/>
        </w:rPr>
        <w:t xml:space="preserve"> járulékfizetése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nem változott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Főfoglalkozású vállalkozók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A személyes közreműködésre tekintettel megszerzett járulékalap, a jövedelem kivét, de legalább a rá irányadó minimálbér (Tbj. szerinti fogalom) után fizet 10 % mértékű nyugdíjjárulékot, és </w:t>
      </w:r>
      <w:r>
        <w:rPr>
          <w:rFonts w:ascii="Times New Roman" w:hAnsi="Times New Roman"/>
          <w:b/>
          <w:sz w:val="24"/>
          <w:szCs w:val="24"/>
          <w:u w:val="single"/>
        </w:rPr>
        <w:t>legalább a minimálbér másfélszerese után fizeti meg</w:t>
      </w:r>
      <w:r>
        <w:rPr>
          <w:rFonts w:ascii="Times New Roman" w:hAnsi="Times New Roman"/>
          <w:sz w:val="24"/>
          <w:szCs w:val="24"/>
        </w:rPr>
        <w:t xml:space="preserve"> 8,5 % egészségbiztosítási és munkaerő-piaci járulékot.   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Az EVA szerint adózó egyéni vállalkozó a jövedelme, de legalább a </w:t>
      </w:r>
      <w:r>
        <w:rPr>
          <w:rFonts w:ascii="Times New Roman" w:hAnsi="Times New Roman"/>
          <w:b/>
          <w:sz w:val="24"/>
          <w:szCs w:val="24"/>
          <w:u w:val="single"/>
        </w:rPr>
        <w:t>rá irányadó minimálbér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illetve annak másfélszerese után fizeti ugyanezen terheket.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Az átalányadó szabályai szerint adózó egyéni vállalkozó az átalányban megállapított jövedelem, de legalább a minimálbér, illetve annak másfélszerese után fizeti a járulékot.  </w:t>
      </w:r>
    </w:p>
    <w:p>
      <w:pPr>
        <w:pStyle w:val="style125"/>
        <w:ind w:hanging="0" w:left="283" w:right="0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Többes jogviszony   nem változott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Ha az egyéni vállalkozó, a társas vállalkozó legalább heti 36 órás foglalkoztatással járó munkaviszonyban is áll, vagy az egyéni vállalkozó, a társas vállalkozó közép- vagy felsőfokú oktatási intézményben nappali rendszerű oktatás keretében folytat tanulmányokat.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A heti 36 órás foglalkoztatás megállapításánál az egyidejűleg fennálló munkaviszonyokban előírt munkaidőt össze kell számítani.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Ebben az esetben a vállalkozói jövedelem szerint adózó egyéni vállalkozó, a társas vállalkozás tagja a jövedelem kivét, elszámolt jövedelem után fizeti a járulékot.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Az Eva szerint adózó egyéni vállalkozó esetében az Eva tv.-ben meghatározott adóalap 4 százaléka után fizeti a járulékot.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Átalányadózó egyéni vállalkozó esetében az átalányban megállapított jövedelem után fizeti a járulékot.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Kiegészítő tevékenységű vállalkozók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A vállalkozói jövedelem szerint adózó egyéni vállalkozó, a társas vállalkozás tagja a jövedelem kivét, illetve az elszámolt jövedelem alapján fizeti a 10 %-os nyugdíjjárulékot.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Az átalányadózó egyéni vállalkozó az átalányban megállapított jövedelem után fizeti a 10 %-os nyugdíjjárulékot.</w:t>
      </w:r>
    </w:p>
    <w:p>
      <w:pPr>
        <w:pStyle w:val="style125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Az Eva szerint adózó egyéni vállalkozó Eva tv.-ben meghatározott adóalap 10 százaléka után fizeti a 10 %-os nyugdíjjárulékot.</w:t>
      </w:r>
    </w:p>
    <w:p>
      <w:pPr>
        <w:pStyle w:val="style0"/>
        <w:tabs>
          <w:tab w:leader="none" w:pos="283" w:val="left"/>
        </w:tabs>
        <w:jc w:val="both"/>
      </w:pPr>
      <w:r>
        <w:rPr/>
      </w:r>
    </w:p>
    <w:p>
      <w:pPr>
        <w:pStyle w:val="style0"/>
      </w:pPr>
      <w:r>
        <w:rPr>
          <w:b/>
          <w:bCs/>
          <w:sz w:val="22"/>
          <w:szCs w:val="22"/>
        </w:rPr>
        <w:t xml:space="preserve"> </w:t>
      </w:r>
    </w:p>
    <w:p>
      <w:pPr>
        <w:pStyle w:val="style0"/>
      </w:pPr>
      <w:r>
        <w:rPr>
          <w:b/>
        </w:rPr>
        <w:t>EVA :   eva mértéke 37%  felső határ 30 millió forint.</w:t>
      </w:r>
    </w:p>
    <w:p>
      <w:pPr>
        <w:pStyle w:val="style0"/>
      </w:pPr>
      <w:r>
        <w:rPr>
          <w:b/>
          <w:bCs/>
        </w:rPr>
        <w:t xml:space="preserve">Egyéni vállalkozó, EVÁs-is, </w:t>
      </w:r>
      <w:r>
        <w:rPr/>
        <w:t xml:space="preserve">egyéni cég </w:t>
      </w:r>
      <w:r>
        <w:rPr>
          <w:b/>
          <w:bCs/>
        </w:rPr>
        <w:t>szüneteltetheti a tevékenységét</w:t>
      </w:r>
      <w:r>
        <w:rPr/>
        <w:t xml:space="preserve">  </w:t>
      </w:r>
    </w:p>
    <w:p>
      <w:pPr>
        <w:pStyle w:val="style0"/>
      </w:pPr>
      <w:r>
        <w:rPr>
          <w:b/>
          <w:u w:val="single"/>
        </w:rPr>
        <w:t xml:space="preserve">Társasági adó </w:t>
      </w:r>
      <w:r>
        <w:rPr>
          <w:b/>
          <w:color w:val="FF0000"/>
          <w:u w:val="single"/>
        </w:rPr>
        <w:t>változás!!!!</w:t>
      </w:r>
    </w:p>
    <w:p>
      <w:pPr>
        <w:pStyle w:val="style0"/>
      </w:pPr>
      <w:r>
        <w:rPr/>
        <w:t>Összes bevétel</w:t>
      </w:r>
    </w:p>
    <w:p>
      <w:pPr>
        <w:pStyle w:val="style0"/>
      </w:pPr>
      <w:r>
        <w:rPr/>
        <w:t>- csökkentő tételek</w:t>
      </w:r>
    </w:p>
    <w:p>
      <w:pPr>
        <w:pStyle w:val="style0"/>
      </w:pPr>
      <w:r>
        <w:rPr/>
        <w:t xml:space="preserve">+ növelő tételek: új a </w:t>
      </w:r>
      <w:r>
        <w:rPr>
          <w:b/>
          <w:bCs/>
        </w:rPr>
        <w:t>taggal szembeni kötelezettség</w:t>
      </w:r>
    </w:p>
    <w:p>
      <w:pPr>
        <w:pStyle w:val="style0"/>
      </w:pPr>
      <w:r>
        <w:rPr>
          <w:i/>
          <w:iCs/>
        </w:rPr>
        <w:t>a napi átlagos állományának az adóévet megelőző adóév utolsó napján fennálló kötelezettségét meghaladó összeg 50%-</w:t>
      </w:r>
      <w:r>
        <w:rPr>
          <w:b/>
          <w:i/>
          <w:iCs/>
        </w:rPr>
        <w:t>a már 2013-ra is!!!!</w:t>
      </w:r>
    </w:p>
    <w:p>
      <w:pPr>
        <w:pStyle w:val="style0"/>
      </w:pPr>
      <w:r>
        <w:rPr>
          <w:color w:val="FF0000"/>
        </w:rPr>
        <w:t>Helyi adó:</w:t>
      </w:r>
    </w:p>
    <w:p>
      <w:pPr>
        <w:pStyle w:val="style0"/>
        <w:numPr>
          <w:ilvl w:val="0"/>
          <w:numId w:val="12"/>
        </w:numPr>
      </w:pPr>
      <w:r>
        <w:rPr>
          <w:color w:val="FF0000"/>
        </w:rPr>
        <w:t xml:space="preserve">500 mFt-os árbevétel felett </w:t>
      </w:r>
      <w:r>
        <w:rPr>
          <w:color w:val="FF0000"/>
          <w:u w:val="single"/>
        </w:rPr>
        <w:t>arányosítani</w:t>
      </w:r>
      <w:r>
        <w:rPr>
          <w:color w:val="FF0000"/>
        </w:rPr>
        <w:t xml:space="preserve"> kell:</w:t>
      </w:r>
    </w:p>
    <w:p>
      <w:pPr>
        <w:pStyle w:val="style0"/>
        <w:numPr>
          <w:ilvl w:val="1"/>
          <w:numId w:val="12"/>
        </w:numPr>
      </w:pPr>
      <w:r>
        <w:rPr>
          <w:color w:val="FF0000"/>
        </w:rPr>
        <w:t xml:space="preserve">Elábé </w:t>
      </w:r>
    </w:p>
    <w:p>
      <w:pPr>
        <w:pStyle w:val="style0"/>
        <w:numPr>
          <w:ilvl w:val="1"/>
          <w:numId w:val="12"/>
        </w:numPr>
      </w:pPr>
      <w:r>
        <w:rPr>
          <w:color w:val="FF0000"/>
        </w:rPr>
        <w:t>Közvetített szolgáltatása</w:t>
      </w:r>
    </w:p>
    <w:p>
      <w:pPr>
        <w:pStyle w:val="style0"/>
        <w:numPr>
          <w:ilvl w:val="0"/>
          <w:numId w:val="12"/>
        </w:numPr>
      </w:pPr>
      <w:r>
        <w:rPr>
          <w:color w:val="FF0000"/>
        </w:rPr>
        <w:t>Nem kell arányosítani</w:t>
      </w:r>
    </w:p>
    <w:p>
      <w:pPr>
        <w:pStyle w:val="style0"/>
        <w:numPr>
          <w:ilvl w:val="1"/>
          <w:numId w:val="12"/>
        </w:numPr>
      </w:pPr>
      <w:r>
        <w:rPr>
          <w:color w:val="FF0000"/>
        </w:rPr>
        <w:t>Alvállalkozói teljesítések</w:t>
      </w:r>
    </w:p>
    <w:p>
      <w:pPr>
        <w:pStyle w:val="style0"/>
        <w:numPr>
          <w:ilvl w:val="1"/>
          <w:numId w:val="12"/>
        </w:numPr>
      </w:pPr>
      <w:r>
        <w:rPr>
          <w:color w:val="FF0000"/>
        </w:rPr>
        <w:t>Anyagköltség</w:t>
      </w:r>
    </w:p>
    <w:p>
      <w:pPr>
        <w:pStyle w:val="style0"/>
        <w:numPr>
          <w:ilvl w:val="1"/>
          <w:numId w:val="12"/>
        </w:numPr>
      </w:pPr>
      <w:r>
        <w:rPr>
          <w:color w:val="FF0000"/>
        </w:rPr>
        <w:t>K+F költség</w:t>
      </w:r>
    </w:p>
    <w:p>
      <w:pPr>
        <w:pStyle w:val="style0"/>
      </w:pPr>
      <w:r>
        <w:rPr>
          <w:b/>
          <w:color w:val="FF0000"/>
        </w:rPr>
        <w:t>Áfa: folyamatos szolgáltatás</w:t>
      </w:r>
    </w:p>
    <w:p>
      <w:pPr>
        <w:pStyle w:val="style0"/>
        <w:numPr>
          <w:ilvl w:val="0"/>
          <w:numId w:val="13"/>
        </w:numPr>
      </w:pPr>
      <w:r>
        <w:rPr>
          <w:color w:val="FF0000"/>
        </w:rPr>
        <w:t>Közszolgáltatási szerződés alapján:</w:t>
      </w:r>
    </w:p>
    <w:p>
      <w:pPr>
        <w:pStyle w:val="style0"/>
      </w:pPr>
      <w:r>
        <w:rPr>
          <w:color w:val="FF0000"/>
        </w:rPr>
        <w:tab/>
        <w:t>teljesítés időpontja = fizetési határidő</w:t>
      </w:r>
    </w:p>
    <w:p>
      <w:pPr>
        <w:pStyle w:val="style0"/>
        <w:numPr>
          <w:ilvl w:val="0"/>
          <w:numId w:val="14"/>
        </w:numPr>
      </w:pPr>
      <w:r>
        <w:rPr>
          <w:color w:val="FF0000"/>
        </w:rPr>
        <w:t>Egyéb esetekben</w:t>
      </w:r>
    </w:p>
    <w:p>
      <w:pPr>
        <w:pStyle w:val="style0"/>
      </w:pPr>
      <w:r>
        <w:rPr>
          <w:color w:val="FF0000"/>
        </w:rPr>
        <w:tab/>
      </w:r>
      <w:r>
        <w:rPr>
          <w:b/>
          <w:bCs/>
          <w:color w:val="FF0000"/>
        </w:rPr>
        <w:t>teljesítés időpontja = időszak utolsó napja</w:t>
      </w:r>
    </w:p>
    <w:p>
      <w:pPr>
        <w:pStyle w:val="style0"/>
        <w:numPr>
          <w:ilvl w:val="0"/>
          <w:numId w:val="15"/>
        </w:numPr>
      </w:pPr>
      <w:r>
        <w:rPr>
          <w:b/>
          <w:bCs/>
          <w:i/>
          <w:iCs/>
          <w:color w:val="FF0000"/>
        </w:rPr>
        <w:t>2014. július 1-jétől lép hatályba</w:t>
      </w:r>
    </w:p>
    <w:p>
      <w:pPr>
        <w:pStyle w:val="style0"/>
        <w:numPr>
          <w:ilvl w:val="0"/>
          <w:numId w:val="15"/>
        </w:numPr>
      </w:pPr>
      <w:r>
        <w:rPr>
          <w:b/>
          <w:bCs/>
          <w:i/>
          <w:iCs/>
          <w:color w:val="FF0000"/>
        </w:rPr>
        <w:t>5% áfa alá tartozik</w:t>
      </w:r>
    </w:p>
    <w:p>
      <w:pPr>
        <w:pStyle w:val="style0"/>
        <w:numPr>
          <w:ilvl w:val="1"/>
          <w:numId w:val="15"/>
        </w:numPr>
      </w:pPr>
      <w:r>
        <w:rPr>
          <w:b/>
          <w:bCs/>
          <w:i/>
          <w:iCs/>
          <w:color w:val="FF0000"/>
        </w:rPr>
        <w:t>Sertés élve</w:t>
      </w:r>
    </w:p>
    <w:p>
      <w:pPr>
        <w:pStyle w:val="style0"/>
        <w:numPr>
          <w:ilvl w:val="1"/>
          <w:numId w:val="15"/>
        </w:numPr>
      </w:pPr>
      <w:r>
        <w:rPr>
          <w:b/>
          <w:bCs/>
          <w:i/>
          <w:iCs/>
          <w:color w:val="FF0000"/>
        </w:rPr>
        <w:t>Sertés egészben vagy félbe (frissen, hűtve, fagyasztva)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25"/>
        <w:jc w:val="both"/>
      </w:pPr>
      <w:r>
        <w:rPr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 szociális hozzájárulási adó  </w:t>
      </w:r>
      <w:r>
        <w:rPr>
          <w:rFonts w:ascii="Times New Roman" w:hAnsi="Times New Roman"/>
          <w:b/>
          <w:sz w:val="24"/>
          <w:szCs w:val="24"/>
        </w:rPr>
        <w:t>2012.01.01-től</w:t>
      </w:r>
    </w:p>
    <w:p>
      <w:pPr>
        <w:pStyle w:val="style125"/>
        <w:jc w:val="both"/>
      </w:pPr>
      <w:r>
        <w:rPr>
          <w:rFonts w:ascii="Times New Roman" w:hAnsi="Times New Roman"/>
          <w:sz w:val="24"/>
          <w:szCs w:val="24"/>
        </w:rPr>
        <w:t>Az adó alanya a kifizető, az egyéni vállalkozó, az őstermelő.</w:t>
      </w:r>
    </w:p>
    <w:p>
      <w:pPr>
        <w:pStyle w:val="style125"/>
        <w:jc w:val="both"/>
      </w:pPr>
      <w:r>
        <w:rPr>
          <w:rFonts w:ascii="Times New Roman" w:hAnsi="Times New Roman"/>
          <w:sz w:val="24"/>
          <w:szCs w:val="24"/>
        </w:rPr>
        <w:t>Az adónak nem alanya a saját jogú nyugdíjas egyéni vállalkozó, az özvegyi nyugdíjban részesülő olyan egyéni vállalkozó, aki a rá irányadó öregséginyugdíj-korhatárt már betöltötte, a mezőgazdasági őstermelő abban az adóévben, amelyet megelőző adóévben a személyi jövedelemadóról szóló törvény alapján mezőgazdasági kistermelőnek minősült, kivéve, ha külön törvény rendelkezése alapján az adóévre magasabb járulékalap választásáról tesz nyilatkozatot, a mezőgazdasági őstermelő, akinek a társadalombiztosítás ellátásaira és a magánnyugdíjra jogosultakról, valamint e szolgáltatások fedezetéről szóló törvény alapján nem keletkezik járulékfizetési kötelezettsége.</w:t>
      </w:r>
    </w:p>
    <w:p>
      <w:pPr>
        <w:pStyle w:val="style125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Az adóalap megállapításának különös szabályai</w:t>
      </w:r>
    </w:p>
    <w:p>
      <w:pPr>
        <w:pStyle w:val="style125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a közkereseti társaságot, a betéti társaságot, a korlátolt felelősségű társaságot, a közös vállalatot, az egyesülést, az európai gazdasági egyesülést, a szabadalmi ügyvivői irodát, a szabadalmi ügyvivői társaságot, az ügyvédi irodát, a közjegyzői irodát, a végrehajtói irodát,  egyéni céget a tagjával fennálló adófizetési kötelezettséget eredményező jogviszonyára tekintettel havonta terhelő adó alapja legalább a minimálbér 112,5 százaléka. Az adó alapja legalább az adófizetési kötelezettséget eredményező jogviszony fennállása minden napjára számítva a minimálbér 112,5 százalékának harmincad része, ha a jogviszony nem áll fenn a hónap minden napján.</w:t>
      </w:r>
    </w:p>
    <w:p>
      <w:pPr>
        <w:pStyle w:val="style125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az egyéni vállalkozót saját maga után havonta terhelő adó alapja legalább a minimálbér 112,5 százaléka. Az adó alapja az egyéni vállalkozói jogállás fennállása minden napjára számítva legalább a minimálbér 112,5 százalékának harmincad része, ha a természetes személy e jogállással nem rendelkezik a hónap minden napján.</w:t>
      </w:r>
    </w:p>
    <w:p>
      <w:pPr>
        <w:pStyle w:val="style125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a mezőgazdasági őstermelőt saját maga után havonta terhelő adó alapja a minimálbér. Az adó alapja a mezőgazdasági őstermelői jogállás fennállása minden napjára számítva a minimálbér harmincad része, ha a természetes személy e jogállással nem rendelkezik a hónap minden napján, vagy más okból nem minősül az adó alanyának a hónap minden napján.</w:t>
      </w:r>
    </w:p>
    <w:p>
      <w:pPr>
        <w:pStyle w:val="style0"/>
      </w:pPr>
      <w:r>
        <w:rPr>
          <w:b/>
        </w:rPr>
        <w:t>Járulék:</w:t>
      </w:r>
      <w:r>
        <w:rPr>
          <w:b/>
          <w:bCs/>
          <w:u w:val="single"/>
        </w:rPr>
        <w:t xml:space="preserve"> 2012 január 1-től szociális hozzájárulási adó 27%</w:t>
      </w:r>
      <w:r>
        <w:rPr>
          <w:u w:val="single"/>
        </w:rPr>
        <w:t xml:space="preserve"> </w:t>
      </w:r>
    </w:p>
    <w:p>
      <w:pPr>
        <w:pStyle w:val="style0"/>
      </w:pPr>
      <w:r>
        <w:rPr>
          <w:b/>
          <w:sz w:val="24"/>
          <w:szCs w:val="24"/>
          <w:u w:val="single"/>
        </w:rPr>
        <w:t xml:space="preserve">Az adó mértéke </w:t>
      </w:r>
      <w:r>
        <w:rPr>
          <w:sz w:val="24"/>
          <w:szCs w:val="24"/>
        </w:rPr>
        <w:t xml:space="preserve">A számított adó az adóalap 27 százaléka. </w:t>
      </w:r>
    </w:p>
    <w:p>
      <w:pPr>
        <w:pStyle w:val="style125"/>
        <w:jc w:val="both"/>
      </w:pPr>
      <w:r>
        <w:rPr>
          <w:rFonts w:ascii="Times New Roman" w:hAnsi="Times New Roman"/>
          <w:sz w:val="24"/>
          <w:szCs w:val="24"/>
        </w:rPr>
        <w:t>A fizetendő adó a számított adó, csökkentve az adó fizetésére kötelezettet törvény rendelkezése alapján megillető adókedvezmények összegével.</w:t>
      </w:r>
    </w:p>
    <w:p>
      <w:pPr>
        <w:pStyle w:val="style125"/>
        <w:jc w:val="both"/>
      </w:pPr>
      <w:r>
        <w:rPr>
          <w:rFonts w:ascii="Times New Roman" w:hAnsi="Times New Roman"/>
          <w:sz w:val="24"/>
          <w:szCs w:val="24"/>
        </w:rPr>
        <w:t>A fizetendő adó megállapításánál a számított adót - a számított adót meghaladó mértékben - a következő adókedvezmények csökkentik:</w:t>
      </w:r>
    </w:p>
    <w:p>
      <w:pPr>
        <w:pStyle w:val="style125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a munkabérek értékének megőrzését célzó adókedvezmény</w:t>
      </w:r>
    </w:p>
    <w:p>
      <w:pPr>
        <w:pStyle w:val="style125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a Karrier Híd Program megvalósítását célzó adókedvezmény;</w:t>
      </w:r>
    </w:p>
    <w:p>
      <w:pPr>
        <w:pStyle w:val="style125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a munkaerő-piaci szempontból kedvezőtlen helyzetű társadalmi csoportok és a munkaerő-piacról tartósan távollévők foglalkoztatása, munkaerő-piaci versenyképességük kiegyenlítése, valamint a pályakezdő fiatalok gyakorlati munkatapasztalat-szerzésének megkönnyítése lehet más törvényben meghatározott, annak rendelkezése szerint az adóból érvényesíthető adókedvezmény;</w:t>
      </w:r>
    </w:p>
    <w:p>
      <w:pPr>
        <w:pStyle w:val="style125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a szakképzettséget nem igénylő munkakörökhöz kapcsolódó adókedvezmény.</w:t>
      </w:r>
    </w:p>
    <w:p>
      <w:pPr>
        <w:pStyle w:val="style125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Kedvezmények</w:t>
      </w:r>
      <w:r>
        <w:rPr>
          <w:rFonts w:ascii="Times New Roman" w:hAnsi="Times New Roman"/>
          <w:sz w:val="24"/>
          <w:szCs w:val="24"/>
          <w:u w:val="single"/>
        </w:rPr>
        <w:t xml:space="preserve">: kedvezmény alap max </w:t>
      </w:r>
      <w:r>
        <w:rPr>
          <w:rFonts w:ascii="Times New Roman" w:hAnsi="Times New Roman"/>
          <w:sz w:val="24"/>
          <w:szCs w:val="24"/>
        </w:rPr>
        <w:t xml:space="preserve"> 100 ezer forint </w:t>
      </w:r>
    </w:p>
    <w:p>
      <w:pPr>
        <w:pStyle w:val="style125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12,5 % fizetendő </w:t>
      </w:r>
      <w:r>
        <w:rPr>
          <w:rFonts w:ascii="Times New Roman" w:hAnsi="Times New Roman"/>
          <w:b/>
          <w:sz w:val="24"/>
          <w:szCs w:val="24"/>
        </w:rPr>
        <w:t xml:space="preserve">Feor 9-es munkavállaló </w:t>
      </w:r>
      <w:r>
        <w:rPr>
          <w:rFonts w:ascii="Times New Roman" w:hAnsi="Times New Roman"/>
          <w:sz w:val="24"/>
          <w:szCs w:val="24"/>
        </w:rPr>
        <w:t xml:space="preserve">( takarító, portás stb.) kedvezmény 14,5 % </w:t>
      </w:r>
    </w:p>
    <w:p>
      <w:pPr>
        <w:pStyle w:val="style125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12,5 % fizetendő </w:t>
      </w:r>
      <w:r>
        <w:rPr>
          <w:rFonts w:ascii="Times New Roman" w:hAnsi="Times New Roman"/>
          <w:b/>
          <w:sz w:val="24"/>
          <w:szCs w:val="24"/>
        </w:rPr>
        <w:t>55 év felettiek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/>
        <w:t>A 25. év vagy 55. év betöltése hónapjára teljes egészében jár a kedvezmény</w:t>
      </w:r>
    </w:p>
    <w:p>
      <w:pPr>
        <w:pStyle w:val="style125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0 %  fizetendő </w:t>
      </w:r>
      <w:r>
        <w:rPr>
          <w:rFonts w:ascii="Times New Roman" w:hAnsi="Times New Roman"/>
          <w:b/>
          <w:sz w:val="24"/>
          <w:szCs w:val="24"/>
        </w:rPr>
        <w:t>25 év alatti pályakezdő</w:t>
      </w:r>
      <w:r>
        <w:rPr>
          <w:rFonts w:ascii="Times New Roman" w:hAnsi="Times New Roman"/>
          <w:sz w:val="24"/>
          <w:szCs w:val="24"/>
        </w:rPr>
        <w:t xml:space="preserve"> max 2 évig </w:t>
      </w:r>
      <w:r>
        <w:rPr/>
        <w:t>Legfeljebb 180 nap munkaviszonnyal rendelkező</w:t>
      </w:r>
    </w:p>
    <w:p>
      <w:pPr>
        <w:pStyle w:val="style125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12,5% fizetendő </w:t>
      </w:r>
      <w:r>
        <w:rPr>
          <w:rFonts w:ascii="Times New Roman" w:hAnsi="Times New Roman"/>
          <w:b/>
          <w:sz w:val="24"/>
          <w:szCs w:val="24"/>
        </w:rPr>
        <w:t>tartósan álláskereső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/>
        <w:t xml:space="preserve">megelőző 9 hónapon belül 6 hónapig nyilvántartott álláskereső </w:t>
      </w:r>
      <w:r>
        <w:rPr>
          <w:b/>
          <w:bCs/>
        </w:rPr>
        <w:t xml:space="preserve">27%, két évig </w:t>
      </w:r>
      <w:r>
        <w:rPr/>
        <w:t xml:space="preserve">(fiz. szocho: 27-27=0%) </w:t>
      </w:r>
      <w:r>
        <w:rPr>
          <w:b/>
          <w:bCs/>
        </w:rPr>
        <w:t xml:space="preserve">14,5%, még egy évig </w:t>
      </w:r>
      <w:r>
        <w:rPr/>
        <w:t>(fiz. szocho: 27-14,5=12,5%)</w:t>
      </w:r>
    </w:p>
    <w:p>
      <w:pPr>
        <w:pStyle w:val="style125"/>
        <w:jc w:val="both"/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Megszűnt 2014 január 1-től a start, </w:t>
      </w:r>
      <w:r>
        <w:rPr>
          <w:b/>
          <w:color w:val="FF0000"/>
        </w:rPr>
        <w:t xml:space="preserve">START Extra  </w:t>
      </w:r>
      <w:r>
        <w:rPr>
          <w:b/>
          <w:color w:val="FF0000"/>
          <w:sz w:val="24"/>
          <w:szCs w:val="24"/>
        </w:rPr>
        <w:t>START Plusz START Bónusz</w:t>
      </w:r>
    </w:p>
    <w:p>
      <w:pPr>
        <w:pStyle w:val="style125"/>
        <w:jc w:val="both"/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kedvezmények </w:t>
      </w:r>
    </w:p>
    <w:p>
      <w:pPr>
        <w:pStyle w:val="style0"/>
      </w:pPr>
      <w:r>
        <w:rPr/>
      </w:r>
    </w:p>
    <w:p>
      <w:pPr>
        <w:pStyle w:val="style125"/>
        <w:jc w:val="both"/>
      </w:pPr>
      <w:r>
        <w:rPr>
          <w:b/>
          <w:bCs/>
          <w:u w:val="single"/>
        </w:rPr>
        <w:t>Biztosított által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fizetett járulékok (18,5 %)</w:t>
      </w:r>
    </w:p>
    <w:p>
      <w:pPr>
        <w:pStyle w:val="style0"/>
      </w:pPr>
      <w:r>
        <w:rPr/>
        <w:t xml:space="preserve"> </w:t>
      </w:r>
      <w:r>
        <w:rPr/>
        <w:t xml:space="preserve">fizetendő </w:t>
      </w:r>
      <w:r>
        <w:rPr>
          <w:b/>
          <w:bCs/>
        </w:rPr>
        <w:t xml:space="preserve">10 % </w:t>
      </w:r>
      <w:r>
        <w:rPr/>
        <w:t xml:space="preserve">nyugdíjjárulék, 4 %  természetbeni </w:t>
      </w:r>
      <w:r>
        <w:rPr>
          <w:b/>
          <w:u w:val="single"/>
        </w:rPr>
        <w:t>3 %</w:t>
      </w:r>
      <w:r>
        <w:rPr/>
        <w:t xml:space="preserve"> pénzbeli 1,5, munkaerő-piaci járulék ,. </w:t>
      </w:r>
      <w:r>
        <w:rPr>
          <w:b/>
          <w:bCs/>
        </w:rPr>
        <w:t xml:space="preserve">Kiegészítő tevékenységet folytatók </w:t>
      </w:r>
      <w:r>
        <w:rPr/>
        <w:t>egészségügyi hozzájárulás havi összege</w:t>
      </w:r>
      <w:r>
        <w:rPr>
          <w:b/>
          <w:bCs/>
        </w:rPr>
        <w:t xml:space="preserve"> 6.810  </w:t>
      </w:r>
      <w:r>
        <w:rPr>
          <w:u w:val="single"/>
        </w:rPr>
        <w:t xml:space="preserve"> forint </w:t>
      </w:r>
      <w:r>
        <w:rPr/>
        <w:t>(</w:t>
      </w:r>
      <w:r>
        <w:rPr>
          <w:b/>
          <w:bCs/>
        </w:rPr>
        <w:t>napi 227 forint)</w:t>
      </w:r>
    </w:p>
    <w:p>
      <w:pPr>
        <w:pStyle w:val="style0"/>
      </w:pPr>
      <w:r>
        <w:rPr>
          <w:b/>
          <w:bCs/>
        </w:rPr>
        <w:t xml:space="preserve"> </w:t>
      </w:r>
    </w:p>
    <w:p>
      <w:pPr>
        <w:pStyle w:val="style0"/>
      </w:pPr>
      <w:r>
        <w:rPr/>
        <w:t xml:space="preserve">Nyugdíjjárulék </w:t>
      </w:r>
      <w:r>
        <w:rPr>
          <w:b/>
          <w:bCs/>
        </w:rPr>
        <w:t>felső határ</w:t>
      </w:r>
      <w:r>
        <w:rPr>
          <w:b/>
        </w:rPr>
        <w:t xml:space="preserve">  megszűnt.</w:t>
      </w:r>
    </w:p>
    <w:p>
      <w:pPr>
        <w:pStyle w:val="style0"/>
      </w:pPr>
      <w:r>
        <w:rPr/>
        <w:t xml:space="preserve"> </w:t>
      </w:r>
      <w:r>
        <w:rPr/>
        <w:t>Bekerült a járulék alapot képező jövedelem  közé a hallgatói munkadíj!!!</w:t>
      </w:r>
    </w:p>
    <w:p>
      <w:pPr>
        <w:pStyle w:val="style125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Minde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biztosítási jogviszonyban meg kell fizetni pénzbeli egészségbiztosítási járulékot is akkor is, ha ezek közül valamelyik a heti 36 órát meghaladja.</w:t>
      </w:r>
    </w:p>
    <w:p>
      <w:pPr>
        <w:pStyle w:val="style0"/>
        <w:tabs>
          <w:tab w:leader="none" w:pos="120" w:val="left"/>
        </w:tabs>
        <w:ind w:hanging="0" w:left="15" w:right="0"/>
        <w:jc w:val="both"/>
      </w:pPr>
      <w:r>
        <w:rPr/>
        <w:t xml:space="preserve"> </w:t>
      </w:r>
    </w:p>
    <w:p>
      <w:pPr>
        <w:pStyle w:val="style0"/>
        <w:jc w:val="both"/>
      </w:pPr>
      <w:r>
        <w:rPr>
          <w:b/>
        </w:rPr>
        <w:t>Munkaerő-piaci járulék ( kódja 188-as ) a</w:t>
      </w:r>
      <w:r>
        <w:rPr/>
        <w:t xml:space="preserve"> személy jövedelemadó alap a munkaerő-piaci járulék alapja, a természetbeni juttatásnál az szja-val növelt összeg után kell megfizetni a munkaerő-piaci járulékot.</w:t>
      </w:r>
      <w:r>
        <w:rPr>
          <w:b/>
        </w:rPr>
        <w:t xml:space="preserve"> </w:t>
      </w:r>
    </w:p>
    <w:p>
      <w:pPr>
        <w:pStyle w:val="style0"/>
        <w:jc w:val="both"/>
      </w:pPr>
      <w:r>
        <w:rPr/>
        <w:t xml:space="preserve"> </w:t>
      </w:r>
    </w:p>
    <w:p>
      <w:pPr>
        <w:pStyle w:val="style0"/>
        <w:jc w:val="both"/>
      </w:pPr>
      <w:r>
        <w:rPr>
          <w:u w:val="single"/>
        </w:rPr>
        <w:t>Munkaerő-piaci  járulék 1,5 %  minden biztosított után kell fizetni.</w:t>
      </w:r>
      <w:r>
        <w:rPr/>
        <w:t xml:space="preserve">                       </w:t>
      </w:r>
    </w:p>
    <w:p>
      <w:pPr>
        <w:pStyle w:val="style0"/>
        <w:tabs>
          <w:tab w:leader="none" w:pos="283" w:val="left"/>
        </w:tabs>
        <w:jc w:val="both"/>
      </w:pPr>
      <w:r>
        <w:rPr>
          <w:b/>
        </w:rPr>
        <w:t xml:space="preserve"> </w:t>
      </w:r>
    </w:p>
    <w:p>
      <w:pPr>
        <w:pStyle w:val="style0"/>
        <w:jc w:val="both"/>
      </w:pP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>Szakképzési hozzájárulás</w:t>
      </w:r>
    </w:p>
    <w:p>
      <w:pPr>
        <w:pStyle w:val="style0"/>
        <w:jc w:val="both"/>
      </w:pPr>
      <w:r>
        <w:rPr>
          <w:b/>
        </w:rPr>
        <w:t>A szakképzési hozzájárulás alapja 2012-től   szociális hozzájárulás  alapja</w:t>
      </w:r>
      <w:r>
        <w:rPr/>
        <w:t>. Mértéke változatlanul 1,5%.</w:t>
      </w:r>
    </w:p>
    <w:p>
      <w:pPr>
        <w:pStyle w:val="style0"/>
        <w:jc w:val="both"/>
      </w:pPr>
      <w:r>
        <w:rPr/>
        <w:t xml:space="preserve">  </w:t>
      </w:r>
    </w:p>
    <w:p>
      <w:pPr>
        <w:pStyle w:val="style0"/>
        <w:jc w:val="both"/>
      </w:pPr>
      <w:r>
        <w:rPr>
          <w:b/>
          <w:bCs/>
          <w:u w:val="single"/>
        </w:rPr>
        <w:t>EH</w:t>
      </w:r>
      <w:r>
        <w:rPr>
          <w:b/>
          <w:bCs/>
          <w:color w:val="FF0000"/>
          <w:u w:val="single"/>
        </w:rPr>
        <w:t>O</w:t>
      </w:r>
      <w:r>
        <w:rPr>
          <w:b/>
          <w:bCs/>
          <w:u w:val="single"/>
        </w:rPr>
        <w:t xml:space="preserve">: a kifizetőt terhelő </w:t>
      </w:r>
      <w:r>
        <w:rPr/>
        <w:t xml:space="preserve"> EHO 27 % (az </w:t>
      </w:r>
      <w:r>
        <w:rPr>
          <w:b/>
          <w:bCs/>
        </w:rPr>
        <w:t>összevont</w:t>
      </w:r>
      <w:r>
        <w:rPr/>
        <w:t xml:space="preserve"> adóalapba tartozó jövedelmeknél) , </w:t>
      </w:r>
      <w:r>
        <w:rPr>
          <w:b/>
          <w:bCs/>
        </w:rPr>
        <w:t>Különadózó</w:t>
      </w:r>
      <w:r>
        <w:rPr/>
        <w:t xml:space="preserve"> jövedelmek közül: adóköteles természetbeni juttatások, kamatkedvezmény,egyösszegű járadék megváltás, kis összegű kifizetések után. </w:t>
      </w:r>
    </w:p>
    <w:p>
      <w:pPr>
        <w:pStyle w:val="style0"/>
        <w:jc w:val="both"/>
      </w:pPr>
      <w:r>
        <w:rPr/>
        <w:t xml:space="preserve">Vállalkozásból kivont jövedelem, értékpapír kölcsönzés, árfolyam nyereségből származó jövedelem </w:t>
      </w:r>
      <w:r>
        <w:rPr>
          <w:b/>
          <w:bCs/>
        </w:rPr>
        <w:t xml:space="preserve"> EH</w:t>
      </w:r>
      <w:r>
        <w:rPr>
          <w:b/>
          <w:bCs/>
          <w:color w:val="FF0000"/>
        </w:rPr>
        <w:t>O</w:t>
      </w:r>
      <w:r>
        <w:rPr>
          <w:b/>
          <w:bCs/>
        </w:rPr>
        <w:t>-ja 14%</w:t>
      </w:r>
    </w:p>
    <w:p>
      <w:pPr>
        <w:pStyle w:val="style0"/>
        <w:jc w:val="both"/>
      </w:pPr>
      <w:r>
        <w:rPr>
          <w:b/>
        </w:rPr>
        <w:t>Az ingatlan bérbeadásból</w:t>
      </w:r>
      <w:r>
        <w:rPr/>
        <w:t xml:space="preserve"> származó jövedelem adója:   bruttósítása 127 % x16%=20.32 % szja a jövedelem után </w:t>
      </w:r>
      <w:r>
        <w:rPr>
          <w:b/>
          <w:bCs/>
        </w:rPr>
        <w:t xml:space="preserve">14% EHO-t </w:t>
      </w:r>
      <w:r>
        <w:rPr/>
        <w:t>kell fizetni, (a biztosított által fizetett egészségbiztosítás feltöltési határ 450 ezer maradt).Az ingatlannal kapcsolatosan költségelszámolásra van lehetőség!</w:t>
      </w:r>
    </w:p>
    <w:p>
      <w:pPr>
        <w:pStyle w:val="style0"/>
        <w:jc w:val="both"/>
      </w:pPr>
      <w:r>
        <w:rPr>
          <w:b/>
          <w:bCs/>
        </w:rPr>
        <w:t xml:space="preserve"> </w:t>
      </w:r>
    </w:p>
    <w:p>
      <w:pPr>
        <w:pStyle w:val="style0"/>
        <w:numPr>
          <w:ilvl w:val="0"/>
          <w:numId w:val="3"/>
        </w:numPr>
        <w:tabs>
          <w:tab w:leader="none" w:pos="283" w:val="left"/>
        </w:tabs>
        <w:jc w:val="both"/>
      </w:pPr>
      <w:r>
        <w:rPr>
          <w:b/>
        </w:rPr>
        <w:t>Betegszabadság idejére járó távolléti díj 70%.  passzív táppénz már nincs,  , táppénz felső határa 2011-től a minimálbér 400 %-a 312.000  ezer forint lehet.</w:t>
      </w:r>
    </w:p>
    <w:p>
      <w:pPr>
        <w:pStyle w:val="style0"/>
      </w:pPr>
      <w:r>
        <w:rPr/>
        <w:t>Betegség esetén a  táppénz két évnél hosszabb biztosítási idő esetén a  60%, a két évnél rövidebb biztosítási időnél  50%.</w:t>
      </w:r>
    </w:p>
    <w:p>
      <w:pPr>
        <w:pStyle w:val="style0"/>
      </w:pPr>
      <w:r>
        <w:rPr>
          <w:rFonts w:eastAsia="Times New Roman"/>
          <w:color w:val="000000"/>
          <w:sz w:val="24"/>
          <w:szCs w:val="24"/>
        </w:rPr>
        <w:t>GYED:</w:t>
      </w:r>
      <w:r>
        <w:rPr>
          <w:rFonts w:ascii="Arial" w:cs="Arial" w:eastAsia="Arial" w:hAnsi="Arial"/>
          <w:color w:val="000000"/>
          <w:sz w:val="24"/>
          <w:szCs w:val="24"/>
        </w:rPr>
        <w:t xml:space="preserve">Jogosultság: megelőző két éven belül </w:t>
      </w:r>
      <w:r>
        <w:rPr>
          <w:rFonts w:cs="Tahoma" w:eastAsia="Tahoma"/>
          <w:color w:val="000000"/>
          <w:sz w:val="24"/>
          <w:szCs w:val="24"/>
        </w:rPr>
        <w:t xml:space="preserve">365 napon át biztosított. </w:t>
      </w:r>
      <w:r>
        <w:rPr>
          <w:rFonts w:ascii="Arial" w:cs="Arial" w:eastAsia="Arial" w:hAnsi="Arial"/>
          <w:color w:val="000000"/>
          <w:sz w:val="24"/>
          <w:szCs w:val="24"/>
        </w:rPr>
        <w:t xml:space="preserve">Díjazás: maximuma már korábban is </w:t>
      </w:r>
      <w:r>
        <w:rPr>
          <w:rFonts w:cs="Tahoma" w:eastAsia="Tahoma"/>
          <w:color w:val="000000"/>
          <w:sz w:val="24"/>
          <w:szCs w:val="24"/>
        </w:rPr>
        <w:t>létezett:  a minimálbér kétszeresének 70%-a (2011–től ez 109.200 Ft)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4"/>
          <w:szCs w:val="24"/>
        </w:rPr>
        <w:t>Tá</w:t>
      </w:r>
      <w:r>
        <w:rPr>
          <w:b/>
          <w:bCs/>
          <w:sz w:val="26"/>
          <w:szCs w:val="26"/>
        </w:rPr>
        <w:t>rsasági adó</w:t>
      </w:r>
      <w:r>
        <w:rPr>
          <w:sz w:val="26"/>
          <w:szCs w:val="26"/>
        </w:rPr>
        <w:t xml:space="preserve"> 10%  500 millió adóalapig, felette 19%,  nem változott</w:t>
      </w:r>
    </w:p>
    <w:p>
      <w:pPr>
        <w:pStyle w:val="style0"/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Tőkejövedelmek adója:16%</w:t>
      </w:r>
      <w:r>
        <w:rPr>
          <w:sz w:val="26"/>
          <w:szCs w:val="26"/>
        </w:rPr>
        <w:t>, EH</w:t>
      </w:r>
      <w:r>
        <w:rPr>
          <w:color w:val="FF0000"/>
          <w:sz w:val="26"/>
          <w:szCs w:val="26"/>
        </w:rPr>
        <w:t>O</w:t>
      </w:r>
      <w:r>
        <w:rPr>
          <w:sz w:val="26"/>
          <w:szCs w:val="26"/>
        </w:rPr>
        <w:t xml:space="preserve"> 14%, ( pl.osztalék)</w:t>
      </w:r>
    </w:p>
    <w:p>
      <w:pPr>
        <w:pStyle w:val="style0"/>
      </w:pPr>
      <w:r>
        <w:rPr>
          <w:b/>
        </w:rPr>
        <w:t xml:space="preserve">ART: </w:t>
      </w:r>
      <w:r>
        <w:rPr>
          <w:sz w:val="26"/>
          <w:szCs w:val="26"/>
        </w:rPr>
        <w:t xml:space="preserve">Mulasztási bírság eseteinek enyhítése ART 172 § (1)  Mérsékelni lehet a járulék tartozást 73/2009 AB határozat. </w:t>
      </w:r>
    </w:p>
    <w:p>
      <w:pPr>
        <w:pStyle w:val="style0"/>
        <w:widowControl/>
        <w:suppressAutoHyphens w:val="false"/>
        <w:ind w:hanging="0" w:left="720" w:right="0"/>
        <w:jc w:val="both"/>
      </w:pPr>
      <w:r>
        <w:rPr>
          <w:sz w:val="26"/>
          <w:szCs w:val="26"/>
        </w:rPr>
        <w:t xml:space="preserve">  </w:t>
      </w:r>
      <w:r>
        <w:rPr>
          <w:b/>
        </w:rPr>
        <w:t>A független felek közötti 1,5 millió forint készpénzfizetés  után a bírság 20 %</w:t>
      </w:r>
    </w:p>
    <w:p>
      <w:pPr>
        <w:pStyle w:val="style0"/>
        <w:widowControl/>
        <w:numPr>
          <w:ilvl w:val="0"/>
          <w:numId w:val="7"/>
        </w:numPr>
        <w:suppressAutoHyphens w:val="false"/>
        <w:jc w:val="both"/>
      </w:pPr>
      <w:r>
        <w:rPr/>
        <w:t xml:space="preserve"> </w:t>
      </w:r>
      <w:r>
        <w:rPr/>
        <w:t xml:space="preserve">A számviteli törvény jelenleg hatályos előírása a legfontosabb </w:t>
      </w:r>
      <w:r>
        <w:rPr>
          <w:b/>
        </w:rPr>
        <w:t>bizonylatokra 10 éves megőrzési kötelezettséget ír elő, ez 8 évre csökken.</w:t>
      </w:r>
    </w:p>
    <w:p>
      <w:pPr>
        <w:pStyle w:val="style0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Rehabilitációs járulék  </w:t>
      </w:r>
      <w:r>
        <w:rPr>
          <w:b/>
          <w:bCs/>
          <w:sz w:val="26"/>
          <w:szCs w:val="26"/>
        </w:rPr>
        <w:t>964.500</w:t>
      </w:r>
      <w:r>
        <w:rPr>
          <w:sz w:val="26"/>
          <w:szCs w:val="26"/>
        </w:rPr>
        <w:t xml:space="preserve"> forint nem változott, a </w:t>
      </w:r>
      <w:r>
        <w:rPr>
          <w:b/>
          <w:sz w:val="26"/>
          <w:szCs w:val="26"/>
        </w:rPr>
        <w:t>létszám 20-ról 25 főre nőtt</w:t>
      </w:r>
      <w:r>
        <w:rPr>
          <w:sz w:val="26"/>
          <w:szCs w:val="26"/>
        </w:rPr>
        <w:t xml:space="preserve">  </w:t>
      </w:r>
    </w:p>
    <w:p>
      <w:pPr>
        <w:pStyle w:val="style0"/>
      </w:pPr>
      <w:r>
        <w:rPr>
          <w:sz w:val="24"/>
          <w:szCs w:val="24"/>
        </w:rPr>
        <w:t xml:space="preserve"> </w:t>
      </w:r>
    </w:p>
    <w:p>
      <w:pPr>
        <w:pStyle w:val="style0"/>
        <w:jc w:val="both"/>
      </w:pPr>
      <w:r>
        <w:rPr>
          <w:b/>
          <w:u w:val="single"/>
        </w:rPr>
        <w:t xml:space="preserve"> </w:t>
      </w:r>
      <w:r>
        <w:rPr>
          <w:b/>
          <w:u w:val="single"/>
        </w:rPr>
        <w:t>Cégautó adó</w:t>
      </w:r>
    </w:p>
    <w:p>
      <w:pPr>
        <w:pStyle w:val="style0"/>
        <w:jc w:val="both"/>
      </w:pPr>
      <w:r>
        <w:rPr/>
        <w:t xml:space="preserve">A 2009. február 1-je óta hatályos cégautó adó szabályozás jelenlegi rendszere nem tesz markáns különbséget az egyes személygépkocsik között azok vagyoni értéke alapján, továbbá nem veszi figyelembe a környezetvédelmi szempontokat sem. Emiatt az Országgyűlés az alábbi adótételeket fogadta el. Mégsem változik, továbbra is a hatályos szabályok szerint – </w:t>
      </w:r>
      <w:r>
        <w:rPr>
          <w:b/>
        </w:rPr>
        <w:t>évi négy alkalommal – kell adót fizetni és bevallani.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495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934"/>
        <w:gridCol w:w="5804"/>
      </w:tblGrid>
      <w:tr>
        <w:trPr>
          <w:trHeight w:hRule="atLeast" w:val="495"/>
          <w:cantSplit w:val="false"/>
        </w:trPr>
        <w:tc>
          <w:tcPr>
            <w:tcW w:type="dxa" w:w="193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Gépjármű hajtómotorjának</w:t>
            </w:r>
          </w:p>
          <w:p>
            <w:pPr>
              <w:pStyle w:val="style0"/>
              <w:jc w:val="center"/>
            </w:pPr>
            <w:r>
              <w:rPr>
                <w:b/>
              </w:rPr>
              <w:t>teljesítménye (kW)</w:t>
            </w:r>
          </w:p>
        </w:tc>
        <w:tc>
          <w:tcPr>
            <w:tcW w:type="dxa" w:w="580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</w:rPr>
              <w:t>Környezetvédelmi osztály-jelzés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193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80" w:right="0"/>
              <w:jc w:val="center"/>
            </w:pPr>
            <w:r>
              <w:rPr/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0-4 osztály</w:t>
            </w:r>
          </w:p>
        </w:tc>
        <w:tc>
          <w:tcPr>
            <w:tcW w:type="dxa" w:w="19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6-10 osztály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5; 14-15 osztály</w:t>
            </w:r>
          </w:p>
        </w:tc>
      </w:tr>
      <w:tr>
        <w:trPr>
          <w:trHeight w:hRule="atLeast" w:val="165"/>
          <w:cantSplit w:val="false"/>
        </w:trPr>
        <w:tc>
          <w:tcPr>
            <w:tcW w:type="dxa" w:w="19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0-50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16.500 Ft/hó</w:t>
            </w:r>
          </w:p>
        </w:tc>
        <w:tc>
          <w:tcPr>
            <w:tcW w:type="dxa" w:w="19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8.800 Ft/hó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7.700 Ft/hó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9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51-90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22.000 Ft/hó</w:t>
            </w:r>
          </w:p>
        </w:tc>
        <w:tc>
          <w:tcPr>
            <w:tcW w:type="dxa" w:w="19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11.000 Ft/hó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8.800 Ft/hó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9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91-120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33.000 Ft/hó</w:t>
            </w:r>
          </w:p>
        </w:tc>
        <w:tc>
          <w:tcPr>
            <w:tcW w:type="dxa" w:w="19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22.000 Ft/hó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11.000 Ft/hó</w:t>
            </w:r>
          </w:p>
        </w:tc>
      </w:tr>
      <w:tr>
        <w:trPr>
          <w:trHeight w:hRule="atLeast" w:val="356"/>
          <w:cantSplit w:val="false"/>
        </w:trPr>
        <w:tc>
          <w:tcPr>
            <w:tcW w:type="dxa" w:w="19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120 felett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44.000 Ft/hó</w:t>
            </w:r>
          </w:p>
        </w:tc>
        <w:tc>
          <w:tcPr>
            <w:tcW w:type="dxa" w:w="19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33.000 Ft/hó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22.000 Ft/hó</w:t>
            </w:r>
          </w:p>
        </w:tc>
      </w:tr>
    </w:tbl>
    <w:p>
      <w:pPr>
        <w:pStyle w:val="style0"/>
        <w:jc w:val="both"/>
      </w:pPr>
      <w:r>
        <w:rPr>
          <w:b/>
          <w:u w:val="single"/>
        </w:rPr>
        <w:t>Baleseti adó</w:t>
      </w:r>
    </w:p>
    <w:p>
      <w:pPr>
        <w:pStyle w:val="style0"/>
        <w:jc w:val="both"/>
      </w:pPr>
      <w:r>
        <w:rPr/>
        <w:t>A Népegészségügyi termékadóról szóló törvény az egészségügy forrásainak bővítése érdekében 2012. január 1-től egy új adónemmel, a baleseti adóval egészül ki. Az adó több elemében kapcsolódik a kötelező gépjármű-felelősségbiztosítási kötelezettség teljesítéséhez.</w:t>
      </w:r>
    </w:p>
    <w:p>
      <w:pPr>
        <w:pStyle w:val="style0"/>
        <w:jc w:val="both"/>
      </w:pPr>
      <w:r>
        <w:rPr/>
        <w:t>A gépjármű üzembentartójának baleseti adó fizetési kötelezettsége keletkezik. Az adókötelezettség a biztosítási időszak első napján keletkezik és annak utolsó napján szűnik meg.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1"/>
          <w:numId w:val="10"/>
        </w:numPr>
        <w:tabs>
          <w:tab w:leader="none" w:pos="1440" w:val="left"/>
        </w:tabs>
        <w:jc w:val="both"/>
      </w:pPr>
      <w:r>
        <w:rPr>
          <w:b/>
        </w:rPr>
        <w:t>Béren kívüli juttatások: 71.§</w:t>
      </w:r>
      <w:r>
        <w:rPr>
          <w:rFonts w:cs="+mn-cs" w:eastAsia="+mn-ea"/>
          <w:b/>
          <w:bCs/>
          <w:i/>
          <w:iCs/>
          <w:color w:val="CC3399"/>
          <w:sz w:val="64"/>
          <w:szCs w:val="64"/>
          <w:u w:val="single"/>
        </w:rPr>
        <w:t xml:space="preserve"> </w:t>
      </w:r>
      <w:r>
        <w:rPr>
          <w:b/>
          <w:bCs/>
          <w:i/>
          <w:iCs/>
          <w:u w:val="single"/>
        </w:rPr>
        <w:t>Évente magánszemélyenként 500 ezer forintos korlátig</w:t>
      </w:r>
      <w:r>
        <w:rPr>
          <w:b/>
        </w:rPr>
        <w:t xml:space="preserve"> </w:t>
      </w:r>
    </w:p>
    <w:p>
      <w:pPr>
        <w:pStyle w:val="style0"/>
      </w:pPr>
      <w:r>
        <w:rPr>
          <w:b/>
          <w:i/>
          <w:sz w:val="24"/>
          <w:szCs w:val="24"/>
        </w:rPr>
        <w:t>Kedvezményes adózású természetbeni juttatások</w:t>
      </w:r>
    </w:p>
    <w:p>
      <w:pPr>
        <w:pStyle w:val="style0"/>
      </w:pPr>
      <w:r>
        <w:rPr>
          <w:b/>
          <w:i/>
          <w:sz w:val="24"/>
          <w:szCs w:val="24"/>
        </w:rPr>
        <w:t xml:space="preserve">Az adó mértéke a kedvezményes adózású természetbeni juttatások után: </w:t>
      </w:r>
      <w:r>
        <w:rPr>
          <w:color w:val="000000"/>
          <w:sz w:val="24"/>
          <w:szCs w:val="24"/>
        </w:rPr>
        <w:t>16% (</w:t>
      </w:r>
      <w:r>
        <w:rPr>
          <w:rFonts w:cs="Arial"/>
          <w:color w:val="000000"/>
          <w:sz w:val="24"/>
          <w:szCs w:val="24"/>
        </w:rPr>
        <w:t>alapja a kiadott juttatás értékének 1,19 szerese,</w:t>
      </w:r>
      <w:r>
        <w:rPr>
          <w:color w:val="000000"/>
          <w:sz w:val="24"/>
          <w:szCs w:val="24"/>
        </w:rPr>
        <w:t xml:space="preserve">) </w:t>
      </w:r>
      <w:r>
        <w:rPr>
          <w:b/>
          <w:color w:val="000000"/>
          <w:sz w:val="24"/>
          <w:szCs w:val="24"/>
        </w:rPr>
        <w:t>EH</w:t>
      </w:r>
      <w:r>
        <w:rPr>
          <w:b/>
          <w:color w:val="FF0000"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 xml:space="preserve"> már  14%.</w:t>
      </w:r>
    </w:p>
    <w:p>
      <w:pPr>
        <w:pStyle w:val="style0"/>
      </w:pPr>
      <w:r>
        <w:rPr>
          <w:i/>
          <w:sz w:val="24"/>
          <w:szCs w:val="24"/>
        </w:rPr>
        <w:t>[1995. évi CXVII. törvény (Szja. tv.) 71 §] béren kívüli juttatásnak minősül ha a juttató munkáltató</w:t>
      </w:r>
    </w:p>
    <w:p>
      <w:pPr>
        <w:pStyle w:val="style0"/>
      </w:pPr>
      <w:r>
        <w:rPr>
          <w:i/>
          <w:sz w:val="24"/>
          <w:szCs w:val="24"/>
        </w:rPr>
        <w:t xml:space="preserve">a munkavállalónak személyére és közeli hozzátartozói személyére tekintettel adja. A magánszemély nyilatkozata alapján. Munkavállalónak minősül a társaság  személyesen közreműködő tagja is.  </w:t>
      </w:r>
    </w:p>
    <w:tbl>
      <w:tblPr>
        <w:jc w:val="left"/>
        <w:tblInd w:type="dxa" w:w="34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8647"/>
      </w:tblGrid>
      <w:tr>
        <w:trPr>
          <w:trHeight w:hRule="atLeast" w:val="4242"/>
          <w:cantSplit w:val="false"/>
        </w:trPr>
        <w:tc>
          <w:tcPr>
            <w:tcW w:type="dxa" w:w="86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</w:pPr>
            <w:r>
              <w:rPr>
                <w:color w:val="000000"/>
                <w:sz w:val="28"/>
              </w:rPr>
              <w:t xml:space="preserve">  </w:t>
            </w:r>
          </w:p>
          <w:p>
            <w:pPr>
              <w:pStyle w:val="style0"/>
              <w:numPr>
                <w:ilvl w:val="0"/>
                <w:numId w:val="8"/>
              </w:num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Juttatás hónapjának kötelezettségeként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leader="none" w:pos="1440" w:val="left"/>
              </w:tabs>
            </w:pPr>
            <w:r>
              <w:rPr>
                <w:color w:val="000000"/>
                <w:sz w:val="28"/>
              </w:rPr>
              <w:t>Szja: 1,19 × 16%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leader="none" w:pos="1440" w:val="left"/>
              </w:tabs>
            </w:pPr>
            <w:r>
              <w:rPr>
                <w:color w:val="000000"/>
                <w:sz w:val="28"/>
              </w:rPr>
              <w:t xml:space="preserve">Eho: 1,19 × </w:t>
            </w:r>
            <w:r>
              <w:rPr>
                <w:b/>
                <w:bCs/>
                <w:color w:val="000000"/>
                <w:sz w:val="28"/>
              </w:rPr>
              <w:t>14%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leader="none" w:pos="1440" w:val="left"/>
              </w:tabs>
            </w:pPr>
            <w:r>
              <w:rPr>
                <w:color w:val="000000"/>
                <w:sz w:val="28"/>
              </w:rPr>
              <w:t xml:space="preserve">Összesen: </w:t>
            </w:r>
            <w:r>
              <w:rPr>
                <w:b/>
                <w:bCs/>
                <w:color w:val="000000"/>
                <w:sz w:val="28"/>
              </w:rPr>
              <w:t>35,7 % adóteher</w:t>
            </w:r>
          </w:p>
          <w:p>
            <w:pPr>
              <w:pStyle w:val="style0"/>
              <w:ind w:hanging="0" w:left="720" w:right="0"/>
            </w:pPr>
            <w:r>
              <w:rPr/>
            </w:r>
          </w:p>
          <w:p>
            <w:pPr>
              <w:pStyle w:val="style0"/>
              <w:numPr>
                <w:ilvl w:val="0"/>
                <w:numId w:val="8"/>
              </w:numPr>
            </w:pPr>
            <w:r>
              <w:rPr>
                <w:color w:val="000000"/>
                <w:sz w:val="28"/>
                <w:szCs w:val="24"/>
              </w:rPr>
              <w:t xml:space="preserve"> </w:t>
            </w:r>
            <w:r>
              <w:rPr>
                <w:color w:val="000000"/>
                <w:sz w:val="28"/>
              </w:rPr>
              <w:t xml:space="preserve">Erzsébet utalvány </w:t>
            </w:r>
            <w:r>
              <w:rPr>
                <w:b/>
                <w:bCs/>
                <w:color w:val="000000"/>
                <w:sz w:val="28"/>
              </w:rPr>
              <w:t>8000 Ft / hó</w:t>
            </w:r>
          </w:p>
          <w:p>
            <w:pPr>
              <w:pStyle w:val="style0"/>
              <w:numPr>
                <w:ilvl w:val="0"/>
                <w:numId w:val="8"/>
              </w:numPr>
            </w:pPr>
            <w:r>
              <w:rPr>
                <w:color w:val="000000"/>
                <w:sz w:val="28"/>
                <w:szCs w:val="24"/>
              </w:rPr>
              <w:t xml:space="preserve">Munkahelyi étkezés: </w:t>
            </w:r>
            <w:r>
              <w:rPr>
                <w:b/>
                <w:bCs/>
                <w:color w:val="000000"/>
                <w:sz w:val="28"/>
                <w:szCs w:val="24"/>
              </w:rPr>
              <w:t>külsősöknek is</w:t>
            </w:r>
          </w:p>
          <w:p>
            <w:pPr>
              <w:pStyle w:val="style0"/>
              <w:numPr>
                <w:ilvl w:val="0"/>
                <w:numId w:val="8"/>
              </w:numPr>
            </w:pPr>
            <w:r>
              <w:rPr>
                <w:color w:val="000000"/>
                <w:sz w:val="28"/>
                <w:szCs w:val="24"/>
              </w:rPr>
              <w:t>Iskolakezdési támogatás</w:t>
            </w:r>
          </w:p>
          <w:p>
            <w:pPr>
              <w:pStyle w:val="style0"/>
              <w:numPr>
                <w:ilvl w:val="1"/>
                <w:numId w:val="8"/>
              </w:numPr>
            </w:pPr>
            <w:r>
              <w:rPr>
                <w:b/>
                <w:bCs/>
                <w:color w:val="000000"/>
                <w:sz w:val="28"/>
                <w:szCs w:val="24"/>
              </w:rPr>
              <w:t>Utalványban</w:t>
            </w:r>
          </w:p>
          <w:p>
            <w:pPr>
              <w:pStyle w:val="style0"/>
              <w:numPr>
                <w:ilvl w:val="1"/>
                <w:numId w:val="8"/>
              </w:numPr>
            </w:pPr>
            <w:r>
              <w:rPr>
                <w:b/>
                <w:bCs/>
                <w:color w:val="000000"/>
                <w:sz w:val="28"/>
                <w:szCs w:val="24"/>
              </w:rPr>
              <w:t>Év végéig</w:t>
            </w:r>
          </w:p>
          <w:p>
            <w:pPr>
              <w:pStyle w:val="style0"/>
              <w:numPr>
                <w:ilvl w:val="0"/>
                <w:numId w:val="8"/>
              </w:numPr>
            </w:pPr>
            <w:r>
              <w:rPr>
                <w:b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4"/>
              </w:rPr>
              <w:t>bővülő szolgáltatások</w:t>
            </w:r>
          </w:p>
          <w:p>
            <w:pPr>
              <w:pStyle w:val="style0"/>
              <w:numPr>
                <w:ilvl w:val="1"/>
                <w:numId w:val="8"/>
              </w:numPr>
            </w:pPr>
            <w:r>
              <w:rPr>
                <w:color w:val="000000"/>
                <w:sz w:val="28"/>
                <w:szCs w:val="24"/>
              </w:rPr>
              <w:t>SZÉP kártya</w:t>
            </w:r>
          </w:p>
          <w:p>
            <w:pPr>
              <w:pStyle w:val="style0"/>
              <w:numPr>
                <w:ilvl w:val="1"/>
                <w:numId w:val="8"/>
              </w:numPr>
            </w:pPr>
            <w:r>
              <w:rPr>
                <w:color w:val="000000"/>
                <w:sz w:val="28"/>
                <w:szCs w:val="24"/>
              </w:rPr>
              <w:t>Pénztári szolgáltatások</w:t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>
          <w:b/>
          <w:u w:val="single"/>
        </w:rPr>
        <w:t xml:space="preserve"> </w:t>
      </w:r>
    </w:p>
    <w:p>
      <w:pPr>
        <w:pStyle w:val="style0"/>
      </w:pPr>
      <w:r>
        <w:rPr>
          <w:i/>
          <w:iCs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 xml:space="preserve">Nem </w:t>
      </w:r>
      <w:r>
        <w:rPr>
          <w:b/>
          <w:bCs/>
          <w:color w:val="000000"/>
          <w:sz w:val="26"/>
          <w:szCs w:val="26"/>
        </w:rPr>
        <w:t>k</w:t>
      </w:r>
      <w:r>
        <w:rPr>
          <w:b/>
          <w:bCs/>
          <w:i/>
          <w:color w:val="000000"/>
          <w:sz w:val="24"/>
          <w:szCs w:val="24"/>
        </w:rPr>
        <w:t>ed</w:t>
      </w:r>
      <w:r>
        <w:rPr>
          <w:b/>
          <w:i/>
          <w:color w:val="000000"/>
          <w:sz w:val="24"/>
          <w:szCs w:val="24"/>
        </w:rPr>
        <w:t>vezményes adózású természetbeni juttatások adózása :</w:t>
      </w:r>
    </w:p>
    <w:p>
      <w:pPr>
        <w:pStyle w:val="style0"/>
      </w:pPr>
      <w:r>
        <w:rPr>
          <w:b/>
          <w:i/>
          <w:color w:val="000000"/>
          <w:sz w:val="24"/>
          <w:szCs w:val="24"/>
        </w:rPr>
        <w:t xml:space="preserve">   </w:t>
      </w:r>
      <w:r>
        <w:rPr>
          <w:b/>
          <w:i/>
          <w:color w:val="000000"/>
          <w:sz w:val="24"/>
          <w:szCs w:val="24"/>
        </w:rPr>
        <w:t>adóalap x 119% x (16%szja+27% eh</w:t>
      </w:r>
      <w:r>
        <w:rPr>
          <w:b/>
          <w:i/>
          <w:color w:val="FF0000"/>
          <w:sz w:val="24"/>
          <w:szCs w:val="24"/>
        </w:rPr>
        <w:t>o</w:t>
      </w:r>
      <w:r>
        <w:rPr>
          <w:b/>
          <w:i/>
          <w:color w:val="000000"/>
          <w:sz w:val="24"/>
          <w:szCs w:val="24"/>
        </w:rPr>
        <w:t xml:space="preserve">)=51,17%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1"/>
        </w:numPr>
      </w:pPr>
      <w:r>
        <w:rPr>
          <w:b/>
          <w:i/>
          <w:color w:val="000000"/>
          <w:sz w:val="24"/>
          <w:szCs w:val="24"/>
        </w:rPr>
        <w:t>Egyes meghatározott juttatások: 70.§</w:t>
      </w:r>
    </w:p>
    <w:p>
      <w:pPr>
        <w:pStyle w:val="style0"/>
        <w:numPr>
          <w:ilvl w:val="0"/>
          <w:numId w:val="11"/>
        </w:numPr>
      </w:pPr>
      <w:r>
        <w:rPr>
          <w:b/>
          <w:i/>
          <w:color w:val="000000"/>
          <w:sz w:val="24"/>
          <w:szCs w:val="24"/>
        </w:rPr>
        <w:t>Minden más: összevonandó jövedelem</w:t>
      </w:r>
    </w:p>
    <w:p>
      <w:pPr>
        <w:pStyle w:val="style0"/>
      </w:pPr>
      <w:r>
        <w:rPr>
          <w:b/>
          <w:i/>
          <w:color w:val="000000"/>
          <w:sz w:val="24"/>
          <w:szCs w:val="24"/>
        </w:rPr>
        <w:t>Könyvvizsgálat:</w:t>
      </w:r>
    </w:p>
    <w:p>
      <w:pPr>
        <w:pStyle w:val="style0"/>
        <w:numPr>
          <w:ilvl w:val="0"/>
          <w:numId w:val="16"/>
        </w:numPr>
      </w:pPr>
      <w:r>
        <w:rPr>
          <w:b/>
          <w:i/>
          <w:color w:val="000000"/>
          <w:sz w:val="24"/>
          <w:szCs w:val="24"/>
        </w:rPr>
        <w:t>Árbevétel alapján: 300 millió forint</w:t>
      </w:r>
    </w:p>
    <w:p>
      <w:pPr>
        <w:pStyle w:val="style0"/>
        <w:numPr>
          <w:ilvl w:val="0"/>
          <w:numId w:val="16"/>
        </w:numPr>
      </w:pPr>
      <w:r>
        <w:rPr>
          <w:b/>
          <w:i/>
          <w:color w:val="000000"/>
          <w:sz w:val="24"/>
          <w:szCs w:val="24"/>
        </w:rPr>
        <w:t>ÚJ: régi és nagy tartozás miatti kötelező könyvvizsgálat</w:t>
      </w:r>
    </w:p>
    <w:p>
      <w:pPr>
        <w:pStyle w:val="style0"/>
        <w:numPr>
          <w:ilvl w:val="1"/>
          <w:numId w:val="16"/>
        </w:numPr>
      </w:pPr>
      <w:r>
        <w:rPr>
          <w:b/>
          <w:bCs/>
          <w:i/>
          <w:color w:val="000000"/>
          <w:sz w:val="24"/>
          <w:szCs w:val="24"/>
        </w:rPr>
        <w:t>10 millió forint</w:t>
      </w:r>
    </w:p>
    <w:p>
      <w:pPr>
        <w:pStyle w:val="style0"/>
        <w:numPr>
          <w:ilvl w:val="1"/>
          <w:numId w:val="16"/>
        </w:numPr>
      </w:pPr>
      <w:r>
        <w:rPr>
          <w:b/>
          <w:bCs/>
          <w:i/>
          <w:color w:val="000000"/>
          <w:sz w:val="24"/>
          <w:szCs w:val="24"/>
        </w:rPr>
        <w:t>60 nap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  <w:u w:val="single"/>
        </w:rPr>
        <w:t xml:space="preserve"> </w:t>
      </w:r>
      <w:r>
        <w:rPr/>
        <w:t xml:space="preserve">  </w:t>
      </w:r>
      <w:r>
        <w:rPr>
          <w:b/>
        </w:rPr>
        <w:t>Most alkalmaztunk először</w:t>
      </w:r>
    </w:p>
    <w:p>
      <w:pPr>
        <w:pStyle w:val="style0"/>
        <w:numPr>
          <w:ilvl w:val="0"/>
          <w:numId w:val="17"/>
        </w:numPr>
        <w:jc w:val="both"/>
      </w:pPr>
      <w:r>
        <w:rPr/>
        <w:t>Hibahatárok</w:t>
      </w:r>
    </w:p>
    <w:p>
      <w:pPr>
        <w:pStyle w:val="style0"/>
        <w:numPr>
          <w:ilvl w:val="1"/>
          <w:numId w:val="17"/>
        </w:numPr>
        <w:jc w:val="both"/>
      </w:pPr>
      <w:r>
        <w:rPr/>
        <w:t>Lényeges hiba megszűnt</w:t>
      </w:r>
    </w:p>
    <w:p>
      <w:pPr>
        <w:pStyle w:val="style0"/>
        <w:numPr>
          <w:ilvl w:val="1"/>
          <w:numId w:val="17"/>
        </w:numPr>
        <w:jc w:val="both"/>
      </w:pPr>
      <w:r>
        <w:rPr/>
        <w:t>Jelentős hiba: 2%, 1millió Ft</w:t>
      </w:r>
    </w:p>
    <w:p>
      <w:pPr>
        <w:pStyle w:val="style0"/>
        <w:numPr>
          <w:ilvl w:val="0"/>
          <w:numId w:val="17"/>
        </w:numPr>
        <w:jc w:val="both"/>
      </w:pPr>
      <w:r>
        <w:rPr/>
        <w:t>Skontó elszámolása</w:t>
      </w:r>
    </w:p>
    <w:p>
      <w:pPr>
        <w:pStyle w:val="style0"/>
        <w:numPr>
          <w:ilvl w:val="1"/>
          <w:numId w:val="17"/>
        </w:numPr>
        <w:jc w:val="both"/>
      </w:pPr>
      <w:r>
        <w:rPr/>
        <w:t>Rendezendő ellenérték 3%-a a határ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ind w:hanging="0" w:left="360" w:right="0"/>
        <w:jc w:val="both"/>
      </w:pPr>
      <w:r>
        <w:rPr>
          <w:b/>
        </w:rPr>
        <w:t xml:space="preserve"> </w:t>
      </w:r>
      <w:r>
        <w:rPr>
          <w:b/>
        </w:rPr>
        <w:t>KATA: Nem főállású kisadózó: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numPr>
          <w:ilvl w:val="1"/>
          <w:numId w:val="17"/>
        </w:numPr>
        <w:jc w:val="both"/>
      </w:pPr>
      <w:r>
        <w:rPr/>
        <w:t>Legalább 36 órás foglalkoztatással járó munkaviszonyban áll</w:t>
      </w:r>
    </w:p>
    <w:p>
      <w:pPr>
        <w:pStyle w:val="style0"/>
        <w:numPr>
          <w:ilvl w:val="1"/>
          <w:numId w:val="17"/>
        </w:numPr>
        <w:jc w:val="both"/>
      </w:pPr>
      <w:r>
        <w:rPr/>
        <w:t>Nem kiegészítő tevékenységű vállalkozó</w:t>
      </w:r>
    </w:p>
    <w:p>
      <w:pPr>
        <w:pStyle w:val="style0"/>
        <w:numPr>
          <w:ilvl w:val="2"/>
          <w:numId w:val="17"/>
        </w:numPr>
        <w:jc w:val="both"/>
      </w:pPr>
      <w:r>
        <w:rPr/>
        <w:t>Máshol főállású kisadózó</w:t>
      </w:r>
    </w:p>
    <w:p>
      <w:pPr>
        <w:pStyle w:val="style0"/>
        <w:numPr>
          <w:ilvl w:val="2"/>
          <w:numId w:val="17"/>
        </w:numPr>
        <w:jc w:val="both"/>
      </w:pPr>
      <w:r>
        <w:rPr/>
        <w:t>Máshol főállású egyéni vagy társas vállalkozó</w:t>
      </w:r>
    </w:p>
    <w:p>
      <w:pPr>
        <w:pStyle w:val="style0"/>
        <w:numPr>
          <w:ilvl w:val="2"/>
          <w:numId w:val="17"/>
        </w:numPr>
        <w:jc w:val="both"/>
      </w:pPr>
      <w:r>
        <w:rPr/>
        <w:t>Hallgatói jogviszonyos egyéni vagy társas vállalkozó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Tatabánya2014.01.19.</w:t>
      </w:r>
    </w:p>
    <w:p>
      <w:pPr>
        <w:pStyle w:val="style0"/>
      </w:pPr>
      <w:r>
        <w:rPr/>
        <w:t xml:space="preserve">                                                                                               </w:t>
      </w:r>
      <w:r>
        <w:rPr/>
        <w:t xml:space="preserve">Polyák Ilona </w:t>
      </w:r>
    </w:p>
    <w:p>
      <w:pPr>
        <w:pStyle w:val="style0"/>
      </w:pPr>
      <w:r>
        <w:rPr/>
        <w:t xml:space="preserve">                                                                                    </w:t>
      </w:r>
      <w:r>
        <w:rPr/>
        <w:t>kamarai tag  könyvvizsgáló</w:t>
      </w:r>
    </w:p>
    <w:p>
      <w:pPr>
        <w:pStyle w:val="style0"/>
      </w:pPr>
      <w:r>
        <w:rPr/>
        <w:t xml:space="preserve">                                                                                               </w:t>
      </w:r>
      <w:r>
        <w:rPr/>
        <w:t>30/97 92 822</w:t>
      </w:r>
    </w:p>
    <w:sectPr>
      <w:type w:val="nextPage"/>
      <w:pgSz w:h="16838" w:w="11906"/>
      <w:pgMar w:bottom="1134" w:footer="0" w:gutter="0" w:header="0" w:left="1192" w:right="112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283" w:val="num"/>
        </w:tabs>
        <w:ind w:hanging="283" w:left="283"/>
      </w:pPr>
      <w:rPr>
        <w:rFonts w:ascii="Symbol" w:cs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pos="567" w:val="num"/>
        </w:tabs>
        <w:ind w:hanging="283" w:left="567"/>
      </w:pPr>
      <w:rPr>
        <w:rFonts w:ascii="Symbol" w:cs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pos="850" w:val="num"/>
        </w:tabs>
        <w:ind w:hanging="283" w:left="850"/>
      </w:pPr>
      <w:rPr>
        <w:rFonts w:ascii="Symbol" w:cs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pos="1134" w:val="num"/>
        </w:tabs>
        <w:ind w:hanging="283" w:left="1134"/>
      </w:pPr>
      <w:rPr>
        <w:rFonts w:ascii="Symbol" w:cs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pos="1417" w:val="num"/>
        </w:tabs>
        <w:ind w:hanging="283" w:left="1417"/>
      </w:pPr>
      <w:rPr>
        <w:rFonts w:ascii="Symbol" w:cs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pos="1701" w:val="num"/>
        </w:tabs>
        <w:ind w:hanging="283" w:left="1701"/>
      </w:pPr>
      <w:rPr>
        <w:rFonts w:ascii="Symbol" w:cs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pos="1984" w:val="num"/>
        </w:tabs>
        <w:ind w:hanging="283" w:left="1984"/>
      </w:pPr>
      <w:rPr>
        <w:rFonts w:ascii="Symbol" w:cs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pos="2268" w:val="num"/>
        </w:tabs>
        <w:ind w:hanging="283" w:left="2268"/>
      </w:pPr>
      <w:rPr>
        <w:rFonts w:ascii="Symbol" w:cs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pos="2551" w:val="num"/>
        </w:tabs>
        <w:ind w:hanging="283" w:left="2551"/>
      </w:pPr>
      <w:rPr>
        <w:rFonts w:ascii="Symbol" w:cs="Symbol" w:hAnsi="Symbol" w:hint="default"/>
        <w:sz w:val="18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283" w:val="num"/>
        </w:tabs>
        <w:ind w:hanging="283" w:left="283"/>
      </w:pPr>
      <w:rPr>
        <w:rFonts w:ascii="Symbol" w:cs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pos="567" w:val="num"/>
        </w:tabs>
        <w:ind w:hanging="283" w:left="567"/>
      </w:pPr>
      <w:rPr>
        <w:rFonts w:ascii="Symbol" w:cs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pos="850" w:val="num"/>
        </w:tabs>
        <w:ind w:hanging="283" w:left="850"/>
      </w:pPr>
      <w:rPr>
        <w:rFonts w:ascii="Symbol" w:cs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pos="1134" w:val="num"/>
        </w:tabs>
        <w:ind w:hanging="283" w:left="1134"/>
      </w:pPr>
      <w:rPr>
        <w:rFonts w:ascii="Symbol" w:cs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pos="1417" w:val="num"/>
        </w:tabs>
        <w:ind w:hanging="283" w:left="1417"/>
      </w:pPr>
      <w:rPr>
        <w:rFonts w:ascii="Symbol" w:cs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pos="1701" w:val="num"/>
        </w:tabs>
        <w:ind w:hanging="283" w:left="1701"/>
      </w:pPr>
      <w:rPr>
        <w:rFonts w:ascii="Symbol" w:cs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pos="1984" w:val="num"/>
        </w:tabs>
        <w:ind w:hanging="283" w:left="1984"/>
      </w:pPr>
      <w:rPr>
        <w:rFonts w:ascii="Symbol" w:cs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pos="2268" w:val="num"/>
        </w:tabs>
        <w:ind w:hanging="283" w:left="2268"/>
      </w:pPr>
      <w:rPr>
        <w:rFonts w:ascii="Symbol" w:cs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pos="2551" w:val="num"/>
        </w:tabs>
        <w:ind w:hanging="283" w:left="2551"/>
      </w:pPr>
      <w:rPr>
        <w:rFonts w:ascii="Symbol" w:cs="Symbol" w:hAnsi="Symbol" w:hint="default"/>
        <w:sz w:val="18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283" w:val="num"/>
        </w:tabs>
        <w:ind w:hanging="283" w:left="283"/>
      </w:pPr>
      <w:rPr>
        <w:rFonts w:ascii="Symbol" w:cs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pos="567" w:val="num"/>
        </w:tabs>
        <w:ind w:hanging="283" w:left="567"/>
      </w:pPr>
      <w:rPr>
        <w:rFonts w:ascii="Symbol" w:cs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pos="850" w:val="num"/>
        </w:tabs>
        <w:ind w:hanging="283" w:left="850"/>
      </w:pPr>
      <w:rPr>
        <w:rFonts w:ascii="Symbol" w:cs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pos="1134" w:val="num"/>
        </w:tabs>
        <w:ind w:hanging="283" w:left="1134"/>
      </w:pPr>
      <w:rPr>
        <w:rFonts w:ascii="Symbol" w:cs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pos="1417" w:val="num"/>
        </w:tabs>
        <w:ind w:hanging="283" w:left="1417"/>
      </w:pPr>
      <w:rPr>
        <w:rFonts w:ascii="Symbol" w:cs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pos="1701" w:val="num"/>
        </w:tabs>
        <w:ind w:hanging="283" w:left="1701"/>
      </w:pPr>
      <w:rPr>
        <w:rFonts w:ascii="Symbol" w:cs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pos="1984" w:val="num"/>
        </w:tabs>
        <w:ind w:hanging="283" w:left="1984"/>
      </w:pPr>
      <w:rPr>
        <w:rFonts w:ascii="Symbol" w:cs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pos="2268" w:val="num"/>
        </w:tabs>
        <w:ind w:hanging="283" w:left="2268"/>
      </w:pPr>
      <w:rPr>
        <w:rFonts w:ascii="Symbol" w:cs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pos="2551" w:val="num"/>
        </w:tabs>
        <w:ind w:hanging="283" w:left="2551"/>
      </w:pPr>
      <w:rPr>
        <w:rFonts w:ascii="Symbol" w:cs="Symbol" w:hAnsi="Symbol" w:hint="default"/>
        <w:sz w:val="18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004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182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tabs>
          <w:tab w:pos="502" w:val="num"/>
        </w:tabs>
        <w:ind w:hanging="360" w:left="502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947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3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4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5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947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6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583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7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573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Times New Roman" w:eastAsia="Lucida Sans Unicode" w:hAnsi="Times New Roman"/>
      <w:color w:val="00000A"/>
      <w:sz w:val="24"/>
      <w:szCs w:val="20"/>
      <w:lang w:bidi="ar-SA" w:eastAsia="hu-HU" w:val="hu-HU"/>
    </w:rPr>
  </w:style>
  <w:style w:styleId="style4" w:type="paragraph">
    <w:name w:val="Címsor 4"/>
    <w:basedOn w:val="style116"/>
    <w:next w:val="style11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rFonts w:ascii="Symbol" w:hAnsi="Symbol"/>
      <w:sz w:val="18"/>
    </w:rPr>
  </w:style>
  <w:style w:styleId="style17" w:type="character">
    <w:name w:val="WW8Num2z0"/>
    <w:next w:val="style17"/>
    <w:rPr>
      <w:rFonts w:ascii="Symbol" w:hAnsi="Symbol"/>
      <w:sz w:val="18"/>
    </w:rPr>
  </w:style>
  <w:style w:styleId="style18" w:type="character">
    <w:name w:val="WW8Num3z0"/>
    <w:next w:val="style18"/>
    <w:rPr>
      <w:rFonts w:ascii="Symbol" w:hAnsi="Symbol"/>
      <w:sz w:val="18"/>
    </w:rPr>
  </w:style>
  <w:style w:styleId="style19" w:type="character">
    <w:name w:val="WW8Num4z0"/>
    <w:next w:val="style19"/>
    <w:rPr>
      <w:rFonts w:ascii="Symbol" w:hAnsi="Symbol"/>
      <w:sz w:val="18"/>
    </w:rPr>
  </w:style>
  <w:style w:styleId="style20" w:type="character">
    <w:name w:val="WW8Num5z0"/>
    <w:next w:val="style20"/>
    <w:rPr>
      <w:rFonts w:ascii="Symbol" w:hAnsi="Symbol"/>
      <w:sz w:val="18"/>
    </w:rPr>
  </w:style>
  <w:style w:styleId="style21" w:type="character">
    <w:name w:val="Absatz-Standardschriftart"/>
    <w:next w:val="style21"/>
    <w:rPr/>
  </w:style>
  <w:style w:styleId="style22" w:type="character">
    <w:name w:val="WW-Absatz-Standardschriftart"/>
    <w:next w:val="style22"/>
    <w:rPr/>
  </w:style>
  <w:style w:styleId="style23" w:type="character">
    <w:name w:val="WW-Absatz-Standardschriftart1"/>
    <w:next w:val="style23"/>
    <w:rPr/>
  </w:style>
  <w:style w:styleId="style24" w:type="character">
    <w:name w:val="WW-Absatz-Standardschriftart11"/>
    <w:next w:val="style24"/>
    <w:rPr/>
  </w:style>
  <w:style w:styleId="style25" w:type="character">
    <w:name w:val="WW-Absatz-Standardschriftart111"/>
    <w:next w:val="style25"/>
    <w:rPr/>
  </w:style>
  <w:style w:styleId="style26" w:type="character">
    <w:name w:val="WW-Absatz-Standardschriftart1111"/>
    <w:next w:val="style26"/>
    <w:rPr/>
  </w:style>
  <w:style w:styleId="style27" w:type="character">
    <w:name w:val="WW-Absatz-Standardschriftart11111"/>
    <w:next w:val="style27"/>
    <w:rPr/>
  </w:style>
  <w:style w:styleId="style28" w:type="character">
    <w:name w:val="WW-Absatz-Standardschriftart111111"/>
    <w:next w:val="style28"/>
    <w:rPr/>
  </w:style>
  <w:style w:styleId="style29" w:type="character">
    <w:name w:val="WW8Num6z0"/>
    <w:next w:val="style29"/>
    <w:rPr>
      <w:rFonts w:ascii="Symbol" w:hAnsi="Symbol"/>
      <w:sz w:val="18"/>
    </w:rPr>
  </w:style>
  <w:style w:styleId="style30" w:type="character">
    <w:name w:val="WW8Num7z0"/>
    <w:next w:val="style30"/>
    <w:rPr>
      <w:rFonts w:ascii="Symbol" w:hAnsi="Symbol"/>
      <w:sz w:val="18"/>
    </w:rPr>
  </w:style>
  <w:style w:styleId="style31" w:type="character">
    <w:name w:val="WW8Num8z0"/>
    <w:next w:val="style31"/>
    <w:rPr>
      <w:rFonts w:ascii="Symbol" w:hAnsi="Symbol"/>
      <w:sz w:val="18"/>
    </w:rPr>
  </w:style>
  <w:style w:styleId="style32" w:type="character">
    <w:name w:val="WW8Num9z0"/>
    <w:next w:val="style32"/>
    <w:rPr>
      <w:rFonts w:ascii="Symbol" w:hAnsi="Symbol"/>
      <w:sz w:val="18"/>
    </w:rPr>
  </w:style>
  <w:style w:styleId="style33" w:type="character">
    <w:name w:val="WW8Num10z0"/>
    <w:next w:val="style33"/>
    <w:rPr>
      <w:rFonts w:ascii="Symbol" w:hAnsi="Symbol"/>
      <w:sz w:val="18"/>
    </w:rPr>
  </w:style>
  <w:style w:styleId="style34" w:type="character">
    <w:name w:val="WW8Num11z0"/>
    <w:next w:val="style34"/>
    <w:rPr>
      <w:rFonts w:ascii="Symbol" w:hAnsi="Symbol"/>
      <w:sz w:val="18"/>
    </w:rPr>
  </w:style>
  <w:style w:styleId="style35" w:type="character">
    <w:name w:val="WW-Absatz-Standardschriftart1111111"/>
    <w:next w:val="style35"/>
    <w:rPr/>
  </w:style>
  <w:style w:styleId="style36" w:type="character">
    <w:name w:val="WW-Absatz-Standardschriftart11111111"/>
    <w:next w:val="style36"/>
    <w:rPr/>
  </w:style>
  <w:style w:styleId="style37" w:type="character">
    <w:name w:val="WW-Absatz-Standardschriftart111111111"/>
    <w:next w:val="style37"/>
    <w:rPr/>
  </w:style>
  <w:style w:styleId="style38" w:type="character">
    <w:name w:val="WW-Absatz-Standardschriftart1111111111"/>
    <w:next w:val="style38"/>
    <w:rPr/>
  </w:style>
  <w:style w:styleId="style39" w:type="character">
    <w:name w:val="WW-Absatz-Standardschriftart11111111111"/>
    <w:next w:val="style39"/>
    <w:rPr/>
  </w:style>
  <w:style w:styleId="style40" w:type="character">
    <w:name w:val="WW-Absatz-Standardschriftart111111111111"/>
    <w:next w:val="style40"/>
    <w:rPr/>
  </w:style>
  <w:style w:styleId="style41" w:type="character">
    <w:name w:val="WW-Számozásjelek"/>
    <w:next w:val="style41"/>
    <w:rPr/>
  </w:style>
  <w:style w:styleId="style42" w:type="character">
    <w:name w:val="WW-Számozásjelek1"/>
    <w:next w:val="style42"/>
    <w:rPr/>
  </w:style>
  <w:style w:styleId="style43" w:type="character">
    <w:name w:val="WW-Számozásjelek11"/>
    <w:next w:val="style43"/>
    <w:rPr/>
  </w:style>
  <w:style w:styleId="style44" w:type="character">
    <w:name w:val="WW-Számozásjelek111"/>
    <w:next w:val="style44"/>
    <w:rPr/>
  </w:style>
  <w:style w:styleId="style45" w:type="character">
    <w:name w:val="Felsorolásjel"/>
    <w:next w:val="style45"/>
    <w:rPr>
      <w:rFonts w:ascii="StarSymbol" w:cs="OpenSymbol" w:eastAsia="StarSymbol" w:hAnsi="StarSymbol"/>
      <w:sz w:val="18"/>
    </w:rPr>
  </w:style>
  <w:style w:styleId="style46" w:type="character">
    <w:name w:val="WW-Lábjegyzet-karakterek"/>
    <w:next w:val="style46"/>
    <w:rPr/>
  </w:style>
  <w:style w:styleId="style47" w:type="character">
    <w:name w:val="WW-Lábjegyzet-karakterek1"/>
    <w:next w:val="style47"/>
    <w:rPr/>
  </w:style>
  <w:style w:styleId="style48" w:type="character">
    <w:name w:val="WW-Lábjegyzet-karakterek11"/>
    <w:next w:val="style48"/>
    <w:rPr/>
  </w:style>
  <w:style w:styleId="style49" w:type="character">
    <w:name w:val="WW-Lábjegyzet-karakterek111"/>
    <w:next w:val="style49"/>
    <w:rPr/>
  </w:style>
  <w:style w:styleId="style50" w:type="character">
    <w:name w:val="WW-Végjegyzet-karakterek"/>
    <w:next w:val="style50"/>
    <w:rPr/>
  </w:style>
  <w:style w:styleId="style51" w:type="character">
    <w:name w:val="WW-Végjegyzet-karakterek1"/>
    <w:next w:val="style51"/>
    <w:rPr/>
  </w:style>
  <w:style w:styleId="style52" w:type="character">
    <w:name w:val="WW-Végjegyzet-karakterek11"/>
    <w:next w:val="style52"/>
    <w:rPr/>
  </w:style>
  <w:style w:styleId="style53" w:type="character">
    <w:name w:val="WW-Végjegyzet-karakterek111"/>
    <w:next w:val="style53"/>
    <w:rPr/>
  </w:style>
  <w:style w:styleId="style54" w:type="character">
    <w:name w:val="WW8Num12z0"/>
    <w:next w:val="style54"/>
    <w:rPr>
      <w:rFonts w:ascii="Symbol" w:hAnsi="Symbol"/>
      <w:sz w:val="18"/>
    </w:rPr>
  </w:style>
  <w:style w:styleId="style55" w:type="character">
    <w:name w:val="WW8Num13z0"/>
    <w:next w:val="style55"/>
    <w:rPr>
      <w:rFonts w:ascii="Symbol" w:hAnsi="Symbol"/>
      <w:sz w:val="18"/>
    </w:rPr>
  </w:style>
  <w:style w:styleId="style56" w:type="character">
    <w:name w:val="WW8Num14z0"/>
    <w:next w:val="style56"/>
    <w:rPr>
      <w:rFonts w:ascii="Symbol" w:hAnsi="Symbol"/>
      <w:sz w:val="18"/>
    </w:rPr>
  </w:style>
  <w:style w:styleId="style57" w:type="character">
    <w:name w:val="WW8Num15z0"/>
    <w:next w:val="style57"/>
    <w:rPr>
      <w:rFonts w:ascii="Symbol" w:hAnsi="Symbol"/>
      <w:sz w:val="18"/>
    </w:rPr>
  </w:style>
  <w:style w:styleId="style58" w:type="character">
    <w:name w:val="WW8Num16z0"/>
    <w:next w:val="style58"/>
    <w:rPr>
      <w:rFonts w:ascii="Symbol" w:hAnsi="Symbol"/>
      <w:sz w:val="18"/>
    </w:rPr>
  </w:style>
  <w:style w:styleId="style59" w:type="character">
    <w:name w:val="WW8Num17z0"/>
    <w:next w:val="style59"/>
    <w:rPr>
      <w:rFonts w:ascii="Symbol" w:hAnsi="Symbol"/>
      <w:sz w:val="18"/>
    </w:rPr>
  </w:style>
  <w:style w:styleId="style60" w:type="character">
    <w:name w:val="WW-WW8Num1z0"/>
    <w:next w:val="style60"/>
    <w:rPr>
      <w:rFonts w:ascii="Symbol" w:hAnsi="Symbol"/>
      <w:sz w:val="18"/>
    </w:rPr>
  </w:style>
  <w:style w:styleId="style61" w:type="character">
    <w:name w:val="WW-WW8Num2z0"/>
    <w:next w:val="style61"/>
    <w:rPr>
      <w:rFonts w:ascii="Symbol" w:hAnsi="Symbol"/>
      <w:sz w:val="18"/>
    </w:rPr>
  </w:style>
  <w:style w:styleId="style62" w:type="character">
    <w:name w:val="WW-WW8Num3z0"/>
    <w:next w:val="style62"/>
    <w:rPr>
      <w:rFonts w:ascii="Symbol" w:hAnsi="Symbol"/>
      <w:sz w:val="18"/>
    </w:rPr>
  </w:style>
  <w:style w:styleId="style63" w:type="character">
    <w:name w:val="WW-WW8Num4z0"/>
    <w:next w:val="style63"/>
    <w:rPr>
      <w:rFonts w:ascii="Symbol" w:hAnsi="Symbol"/>
      <w:sz w:val="18"/>
    </w:rPr>
  </w:style>
  <w:style w:styleId="style64" w:type="character">
    <w:name w:val="WW-WW8Num5z0"/>
    <w:next w:val="style64"/>
    <w:rPr>
      <w:rFonts w:ascii="Symbol" w:hAnsi="Symbol"/>
      <w:sz w:val="18"/>
    </w:rPr>
  </w:style>
  <w:style w:styleId="style65" w:type="character">
    <w:name w:val="WW-WW8Num6z0"/>
    <w:next w:val="style65"/>
    <w:rPr>
      <w:rFonts w:ascii="Symbol" w:hAnsi="Symbol"/>
      <w:sz w:val="18"/>
    </w:rPr>
  </w:style>
  <w:style w:styleId="style66" w:type="character">
    <w:name w:val="WW-WW8Num7z0"/>
    <w:next w:val="style66"/>
    <w:rPr>
      <w:rFonts w:ascii="Symbol" w:hAnsi="Symbol"/>
      <w:sz w:val="18"/>
    </w:rPr>
  </w:style>
  <w:style w:styleId="style67" w:type="character">
    <w:name w:val="WW-WW8Num8z0"/>
    <w:next w:val="style67"/>
    <w:rPr>
      <w:rFonts w:ascii="Symbol" w:hAnsi="Symbol"/>
      <w:sz w:val="18"/>
    </w:rPr>
  </w:style>
  <w:style w:styleId="style68" w:type="character">
    <w:name w:val="WW-WW8Num9z0"/>
    <w:next w:val="style68"/>
    <w:rPr>
      <w:rFonts w:ascii="Symbol" w:hAnsi="Symbol"/>
      <w:sz w:val="18"/>
    </w:rPr>
  </w:style>
  <w:style w:styleId="style69" w:type="character">
    <w:name w:val="WW-WW8Num10z0"/>
    <w:next w:val="style69"/>
    <w:rPr>
      <w:rFonts w:ascii="Symbol" w:hAnsi="Symbol"/>
      <w:sz w:val="18"/>
    </w:rPr>
  </w:style>
  <w:style w:styleId="style70" w:type="character">
    <w:name w:val="WW-WW8Num11z0"/>
    <w:next w:val="style70"/>
    <w:rPr>
      <w:rFonts w:ascii="Symbol" w:hAnsi="Symbol"/>
      <w:sz w:val="18"/>
    </w:rPr>
  </w:style>
  <w:style w:styleId="style71" w:type="character">
    <w:name w:val="WW-WW8Num12z0"/>
    <w:next w:val="style71"/>
    <w:rPr>
      <w:rFonts w:ascii="Symbol" w:hAnsi="Symbol"/>
      <w:sz w:val="18"/>
    </w:rPr>
  </w:style>
  <w:style w:styleId="style72" w:type="character">
    <w:name w:val="WW-WW8Num13z0"/>
    <w:next w:val="style72"/>
    <w:rPr>
      <w:rFonts w:ascii="Symbol" w:hAnsi="Symbol"/>
      <w:sz w:val="18"/>
    </w:rPr>
  </w:style>
  <w:style w:styleId="style73" w:type="character">
    <w:name w:val="WW-WW8Num14z0"/>
    <w:next w:val="style73"/>
    <w:rPr>
      <w:rFonts w:ascii="Symbol" w:hAnsi="Symbol"/>
      <w:sz w:val="18"/>
    </w:rPr>
  </w:style>
  <w:style w:styleId="style74" w:type="character">
    <w:name w:val="WW-WW8Num15z0"/>
    <w:next w:val="style74"/>
    <w:rPr>
      <w:rFonts w:ascii="Symbol" w:hAnsi="Symbol"/>
      <w:sz w:val="18"/>
    </w:rPr>
  </w:style>
  <w:style w:styleId="style75" w:type="character">
    <w:name w:val="WW-WW8Num16z0"/>
    <w:next w:val="style75"/>
    <w:rPr>
      <w:rFonts w:ascii="Symbol" w:hAnsi="Symbol"/>
      <w:sz w:val="18"/>
    </w:rPr>
  </w:style>
  <w:style w:styleId="style76" w:type="character">
    <w:name w:val="WW-WW8Num17z0"/>
    <w:next w:val="style76"/>
    <w:rPr>
      <w:rFonts w:ascii="Symbol" w:hAnsi="Symbol"/>
      <w:sz w:val="18"/>
    </w:rPr>
  </w:style>
  <w:style w:styleId="style77" w:type="character">
    <w:name w:val="Felsorolásjelek"/>
    <w:next w:val="style77"/>
    <w:rPr>
      <w:rFonts w:ascii="StarSymbol" w:eastAsia="StarSymbol" w:hAnsi="StarSymbol"/>
      <w:sz w:val="18"/>
    </w:rPr>
  </w:style>
  <w:style w:styleId="style78" w:type="character">
    <w:name w:val="WW-Felsorolásjelek"/>
    <w:next w:val="style78"/>
    <w:rPr>
      <w:rFonts w:ascii="StarSymbol" w:eastAsia="StarSymbol" w:hAnsi="StarSymbol"/>
      <w:sz w:val="18"/>
    </w:rPr>
  </w:style>
  <w:style w:styleId="style79" w:type="character">
    <w:name w:val="WW-Felsorolásjelek1"/>
    <w:next w:val="style79"/>
    <w:rPr>
      <w:rFonts w:ascii="StarSymbol" w:eastAsia="StarSymbol" w:hAnsi="StarSymbol"/>
      <w:sz w:val="18"/>
    </w:rPr>
  </w:style>
  <w:style w:styleId="style80" w:type="character">
    <w:name w:val="WW-WW8Num1z01"/>
    <w:next w:val="style80"/>
    <w:rPr>
      <w:rFonts w:ascii="Symbol" w:hAnsi="Symbol"/>
      <w:sz w:val="18"/>
    </w:rPr>
  </w:style>
  <w:style w:styleId="style81" w:type="character">
    <w:name w:val="WW-WW8Num2z01"/>
    <w:next w:val="style81"/>
    <w:rPr>
      <w:rFonts w:ascii="Symbol" w:hAnsi="Symbol"/>
      <w:sz w:val="18"/>
    </w:rPr>
  </w:style>
  <w:style w:styleId="style82" w:type="character">
    <w:name w:val="WW-WW8Num3z01"/>
    <w:next w:val="style82"/>
    <w:rPr>
      <w:rFonts w:ascii="Symbol" w:hAnsi="Symbol"/>
      <w:sz w:val="18"/>
    </w:rPr>
  </w:style>
  <w:style w:styleId="style83" w:type="character">
    <w:name w:val="WW-WW8Num4z01"/>
    <w:next w:val="style83"/>
    <w:rPr>
      <w:rFonts w:ascii="Symbol" w:hAnsi="Symbol"/>
      <w:sz w:val="18"/>
    </w:rPr>
  </w:style>
  <w:style w:styleId="style84" w:type="character">
    <w:name w:val="WW-WW8Num5z01"/>
    <w:next w:val="style84"/>
    <w:rPr>
      <w:rFonts w:ascii="Symbol" w:hAnsi="Symbol"/>
      <w:sz w:val="18"/>
    </w:rPr>
  </w:style>
  <w:style w:styleId="style85" w:type="character">
    <w:name w:val="WW-WW8Num6z01"/>
    <w:next w:val="style85"/>
    <w:rPr>
      <w:rFonts w:ascii="Symbol" w:hAnsi="Symbol"/>
      <w:sz w:val="18"/>
    </w:rPr>
  </w:style>
  <w:style w:styleId="style86" w:type="character">
    <w:name w:val="WW-WW8Num7z01"/>
    <w:next w:val="style86"/>
    <w:rPr>
      <w:rFonts w:ascii="Symbol" w:hAnsi="Symbol"/>
      <w:sz w:val="18"/>
    </w:rPr>
  </w:style>
  <w:style w:styleId="style87" w:type="character">
    <w:name w:val="WW-WW8Num8z01"/>
    <w:next w:val="style87"/>
    <w:rPr>
      <w:rFonts w:ascii="Symbol" w:hAnsi="Symbol"/>
      <w:sz w:val="18"/>
    </w:rPr>
  </w:style>
  <w:style w:styleId="style88" w:type="character">
    <w:name w:val="WW-WW8Num9z01"/>
    <w:next w:val="style88"/>
    <w:rPr>
      <w:rFonts w:ascii="Symbol" w:hAnsi="Symbol"/>
      <w:sz w:val="18"/>
    </w:rPr>
  </w:style>
  <w:style w:styleId="style89" w:type="character">
    <w:name w:val="WW-WW8Num10z01"/>
    <w:next w:val="style89"/>
    <w:rPr>
      <w:rFonts w:ascii="Symbol" w:hAnsi="Symbol"/>
      <w:sz w:val="18"/>
    </w:rPr>
  </w:style>
  <w:style w:styleId="style90" w:type="character">
    <w:name w:val="WW-WW8Num11z01"/>
    <w:next w:val="style90"/>
    <w:rPr>
      <w:rFonts w:ascii="Symbol" w:hAnsi="Symbol"/>
      <w:sz w:val="18"/>
    </w:rPr>
  </w:style>
  <w:style w:styleId="style91" w:type="character">
    <w:name w:val="WW-WW8Num12z01"/>
    <w:next w:val="style91"/>
    <w:rPr>
      <w:rFonts w:ascii="Symbol" w:hAnsi="Symbol"/>
      <w:sz w:val="18"/>
    </w:rPr>
  </w:style>
  <w:style w:styleId="style92" w:type="character">
    <w:name w:val="WW-WW8Num13z01"/>
    <w:next w:val="style92"/>
    <w:rPr>
      <w:rFonts w:ascii="Symbol" w:hAnsi="Symbol"/>
      <w:sz w:val="18"/>
    </w:rPr>
  </w:style>
  <w:style w:styleId="style93" w:type="character">
    <w:name w:val="WW-WW8Num14z01"/>
    <w:next w:val="style93"/>
    <w:rPr>
      <w:rFonts w:ascii="Symbol" w:hAnsi="Symbol"/>
      <w:sz w:val="18"/>
    </w:rPr>
  </w:style>
  <w:style w:styleId="style94" w:type="character">
    <w:name w:val="WW-WW8Num15z01"/>
    <w:next w:val="style94"/>
    <w:rPr>
      <w:rFonts w:ascii="Symbol" w:hAnsi="Symbol"/>
      <w:sz w:val="18"/>
    </w:rPr>
  </w:style>
  <w:style w:styleId="style95" w:type="character">
    <w:name w:val="WW-WW8Num16z01"/>
    <w:next w:val="style95"/>
    <w:rPr>
      <w:rFonts w:ascii="StarSymbol" w:eastAsia="StarSymbol" w:hAnsi="StarSymbol"/>
      <w:sz w:val="18"/>
    </w:rPr>
  </w:style>
  <w:style w:styleId="style96" w:type="character">
    <w:name w:val="WW-WW8Num1z012"/>
    <w:next w:val="style96"/>
    <w:rPr>
      <w:rFonts w:ascii="Symbol" w:hAnsi="Symbol"/>
      <w:sz w:val="18"/>
    </w:rPr>
  </w:style>
  <w:style w:styleId="style97" w:type="character">
    <w:name w:val="WW-WW8Num2z012"/>
    <w:next w:val="style97"/>
    <w:rPr>
      <w:rFonts w:ascii="Symbol" w:hAnsi="Symbol"/>
      <w:sz w:val="18"/>
    </w:rPr>
  </w:style>
  <w:style w:styleId="style98" w:type="character">
    <w:name w:val="WW-WW8Num3z012"/>
    <w:next w:val="style98"/>
    <w:rPr>
      <w:rFonts w:ascii="Symbol" w:hAnsi="Symbol"/>
      <w:sz w:val="18"/>
    </w:rPr>
  </w:style>
  <w:style w:styleId="style99" w:type="character">
    <w:name w:val="WW-WW8Num4z012"/>
    <w:next w:val="style99"/>
    <w:rPr>
      <w:rFonts w:ascii="Symbol" w:hAnsi="Symbol"/>
      <w:sz w:val="18"/>
    </w:rPr>
  </w:style>
  <w:style w:styleId="style100" w:type="character">
    <w:name w:val="WW-WW8Num5z012"/>
    <w:next w:val="style100"/>
    <w:rPr>
      <w:rFonts w:ascii="Symbol" w:hAnsi="Symbol"/>
      <w:sz w:val="18"/>
    </w:rPr>
  </w:style>
  <w:style w:styleId="style101" w:type="character">
    <w:name w:val="WW-WW8Num6z012"/>
    <w:next w:val="style101"/>
    <w:rPr>
      <w:rFonts w:ascii="Symbol" w:hAnsi="Symbol"/>
      <w:sz w:val="18"/>
    </w:rPr>
  </w:style>
  <w:style w:styleId="style102" w:type="character">
    <w:name w:val="WW-WW8Num7z012"/>
    <w:next w:val="style102"/>
    <w:rPr>
      <w:rFonts w:ascii="Symbol" w:hAnsi="Symbol"/>
      <w:sz w:val="18"/>
    </w:rPr>
  </w:style>
  <w:style w:styleId="style103" w:type="character">
    <w:name w:val="WW-WW8Num8z012"/>
    <w:next w:val="style103"/>
    <w:rPr>
      <w:rFonts w:ascii="Symbol" w:hAnsi="Symbol"/>
      <w:sz w:val="18"/>
    </w:rPr>
  </w:style>
  <w:style w:styleId="style104" w:type="character">
    <w:name w:val="WW-WW8Num9z012"/>
    <w:next w:val="style104"/>
    <w:rPr>
      <w:rFonts w:ascii="Symbol" w:hAnsi="Symbol"/>
      <w:sz w:val="18"/>
    </w:rPr>
  </w:style>
  <w:style w:styleId="style105" w:type="character">
    <w:name w:val="WW-WW8Num10z012"/>
    <w:next w:val="style105"/>
    <w:rPr>
      <w:rFonts w:ascii="Symbol" w:hAnsi="Symbol"/>
      <w:sz w:val="18"/>
    </w:rPr>
  </w:style>
  <w:style w:styleId="style106" w:type="character">
    <w:name w:val="WW-WW8Num11z012"/>
    <w:next w:val="style106"/>
    <w:rPr>
      <w:rFonts w:ascii="Symbol" w:hAnsi="Symbol"/>
      <w:sz w:val="18"/>
    </w:rPr>
  </w:style>
  <w:style w:styleId="style107" w:type="character">
    <w:name w:val="WW-WW8Num12z012"/>
    <w:next w:val="style107"/>
    <w:rPr>
      <w:rFonts w:ascii="StarSymbol" w:eastAsia="StarSymbol" w:hAnsi="StarSymbol"/>
      <w:sz w:val="18"/>
    </w:rPr>
  </w:style>
  <w:style w:styleId="style108" w:type="character">
    <w:name w:val="Bekezdés alapbetűtípusa1"/>
    <w:next w:val="style108"/>
    <w:rPr/>
  </w:style>
  <w:style w:styleId="style109" w:type="character">
    <w:name w:val="Erős hangsúlyozás"/>
    <w:basedOn w:val="style108"/>
    <w:next w:val="style109"/>
    <w:rPr>
      <w:b/>
      <w:bCs/>
    </w:rPr>
  </w:style>
  <w:style w:styleId="style110" w:type="character">
    <w:name w:val="ListLabel 1"/>
    <w:next w:val="style110"/>
    <w:rPr>
      <w:sz w:val="18"/>
    </w:rPr>
  </w:style>
  <w:style w:styleId="style111" w:type="character">
    <w:name w:val="ListLabel 2"/>
    <w:next w:val="style111"/>
    <w:rPr>
      <w:rFonts w:cs="Courier New"/>
    </w:rPr>
  </w:style>
  <w:style w:styleId="style112" w:type="character">
    <w:name w:val="ListLabel 3"/>
    <w:next w:val="style112"/>
    <w:rPr>
      <w:rFonts w:cs="Symbol"/>
      <w:sz w:val="18"/>
    </w:rPr>
  </w:style>
  <w:style w:styleId="style113" w:type="character">
    <w:name w:val="ListLabel 4"/>
    <w:next w:val="style113"/>
    <w:rPr>
      <w:rFonts w:cs="Symbol"/>
    </w:rPr>
  </w:style>
  <w:style w:styleId="style114" w:type="character">
    <w:name w:val="ListLabel 5"/>
    <w:next w:val="style114"/>
    <w:rPr>
      <w:rFonts w:cs="Courier New"/>
    </w:rPr>
  </w:style>
  <w:style w:styleId="style115" w:type="character">
    <w:name w:val="ListLabel 6"/>
    <w:next w:val="style115"/>
    <w:rPr>
      <w:rFonts w:cs="Wingdings"/>
    </w:rPr>
  </w:style>
  <w:style w:styleId="style116" w:type="paragraph">
    <w:name w:val="Címsor"/>
    <w:basedOn w:val="style0"/>
    <w:next w:val="style117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117" w:type="paragraph">
    <w:name w:val="Szövegtörzs"/>
    <w:basedOn w:val="style0"/>
    <w:next w:val="style117"/>
    <w:pPr>
      <w:spacing w:after="120" w:before="0"/>
      <w:contextualSpacing w:val="false"/>
    </w:pPr>
    <w:rPr/>
  </w:style>
  <w:style w:styleId="style118" w:type="paragraph">
    <w:name w:val="Lista"/>
    <w:basedOn w:val="style117"/>
    <w:next w:val="style118"/>
    <w:pPr/>
    <w:rPr>
      <w:rFonts w:cs="Mangal"/>
    </w:rPr>
  </w:style>
  <w:style w:styleId="style119" w:type="paragraph">
    <w:name w:val="Felirat"/>
    <w:basedOn w:val="style0"/>
    <w:next w:val="style119"/>
    <w:pPr>
      <w:suppressLineNumbers/>
      <w:spacing w:after="120" w:before="120"/>
      <w:contextualSpacing w:val="false"/>
    </w:pPr>
    <w:rPr>
      <w:rFonts w:cs="Mangal"/>
      <w:i/>
      <w:iCs/>
      <w:sz w:val="20"/>
      <w:szCs w:val="24"/>
    </w:rPr>
  </w:style>
  <w:style w:styleId="style120" w:type="paragraph">
    <w:name w:val="Tárgymutató"/>
    <w:basedOn w:val="style0"/>
    <w:next w:val="style120"/>
    <w:pPr>
      <w:suppressLineNumbers/>
    </w:pPr>
    <w:rPr>
      <w:rFonts w:cs="Mangal"/>
    </w:rPr>
  </w:style>
  <w:style w:styleId="style121" w:type="paragraph">
    <w:name w:val="Táblázattartalom"/>
    <w:basedOn w:val="style0"/>
    <w:next w:val="style121"/>
    <w:pPr>
      <w:suppressLineNumbers/>
    </w:pPr>
    <w:rPr/>
  </w:style>
  <w:style w:styleId="style122" w:type="paragraph">
    <w:name w:val="Táblázatfejléc"/>
    <w:basedOn w:val="style121"/>
    <w:next w:val="style122"/>
    <w:pPr>
      <w:suppressLineNumbers/>
      <w:jc w:val="center"/>
    </w:pPr>
    <w:rPr>
      <w:b/>
      <w:bCs/>
    </w:rPr>
  </w:style>
  <w:style w:styleId="style123" w:type="paragraph">
    <w:name w:val="Alapértelmezett~LT~Titel"/>
    <w:next w:val="style123"/>
    <w:pPr>
      <w:widowControl w:val="false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uppressAutoHyphens w:val="true"/>
      <w:spacing w:line="100" w:lineRule="atLeast"/>
    </w:pPr>
    <w:rPr>
      <w:rFonts w:ascii="Tahoma" w:cs="Times New Roman" w:eastAsia="Tahoma" w:hAnsi="Tahoma"/>
      <w:color w:val="000000"/>
      <w:sz w:val="84"/>
      <w:szCs w:val="84"/>
      <w:lang w:bidi="ar-SA" w:eastAsia="hu-HU" w:val="hu-HU"/>
    </w:rPr>
  </w:style>
  <w:style w:styleId="style124" w:type="paragraph">
    <w:name w:val="Alapértelmezett~LT~Gliederung 1"/>
    <w:next w:val="style124"/>
    <w:pPr>
      <w:widowControl w:val="false"/>
      <w:tabs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  <w:tab w:leader="none" w:pos="15480" w:val="left"/>
        <w:tab w:leader="none" w:pos="16920" w:val="left"/>
      </w:tabs>
      <w:suppressAutoHyphens w:val="true"/>
      <w:spacing w:after="0" w:before="139" w:line="100" w:lineRule="atLeast"/>
      <w:ind w:hanging="0" w:left="540" w:right="0"/>
      <w:contextualSpacing w:val="false"/>
    </w:pPr>
    <w:rPr>
      <w:rFonts w:ascii="Tahoma" w:cs="Times New Roman" w:eastAsia="Tahoma" w:hAnsi="Tahoma"/>
      <w:color w:val="000000"/>
      <w:sz w:val="56"/>
      <w:szCs w:val="56"/>
      <w:lang w:bidi="ar-SA" w:eastAsia="hu-HU" w:val="hu-HU"/>
    </w:rPr>
  </w:style>
  <w:style w:styleId="style125" w:type="paragraph">
    <w:name w:val="No Spacing"/>
    <w:next w:val="style125"/>
    <w:pPr>
      <w:widowControl/>
      <w:tabs/>
      <w:suppressAutoHyphens w:val="true"/>
    </w:pPr>
    <w:rPr>
      <w:rFonts w:ascii="Calibri" w:cs="Times New Roman" w:eastAsia="Calibri" w:hAnsi="Calibri"/>
      <w:color w:val="00000A"/>
      <w:sz w:val="22"/>
      <w:szCs w:val="22"/>
      <w:lang w:bidi="ar-SA" w:eastAsia="en-US" w:val="hu-HU"/>
    </w:rPr>
  </w:style>
  <w:style w:styleId="style126" w:type="paragraph">
    <w:name w:val="List Paragraph"/>
    <w:basedOn w:val="style0"/>
    <w:next w:val="style126"/>
    <w:pPr>
      <w:widowControl/>
      <w:suppressAutoHyphens w:val="false"/>
      <w:spacing w:after="0" w:before="0"/>
      <w:ind w:hanging="0" w:left="720" w:right="0"/>
      <w:contextualSpacing/>
    </w:pPr>
    <w:rPr>
      <w:rFonts w:eastAsia="Times New Roman"/>
      <w:sz w:val="24"/>
      <w:szCs w:val="24"/>
    </w:rPr>
  </w:style>
  <w:style w:styleId="style127" w:type="paragraph">
    <w:name w:val="Normal (Web)"/>
    <w:basedOn w:val="style0"/>
    <w:next w:val="style127"/>
    <w:pPr>
      <w:widowControl/>
      <w:suppressAutoHyphens w:val="false"/>
      <w:spacing w:after="28" w:before="28"/>
      <w:contextualSpacing w:val="false"/>
    </w:pPr>
    <w:rPr>
      <w:rFonts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2014-01-20T18:40:00.00Z</dcterms:created>
  <dc:creator>Ilona Polyák</dc:creator>
  <cp:lastModifiedBy>Mariann</cp:lastModifiedBy>
  <cp:lastPrinted>2011-01-07T12:34:00.00Z</cp:lastPrinted>
  <dcterms:modified xsi:type="dcterms:W3CDTF">2014-01-20T18:40:00.00Z</dcterms:modified>
  <cp:revision>2</cp:revision>
</cp:coreProperties>
</file>